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A1CE4" w14:textId="77777777" w:rsidR="00224D8A" w:rsidRPr="009D03DC" w:rsidRDefault="00AB0CFF" w:rsidP="00D3153B">
      <w:pPr>
        <w:pStyle w:val="OHHpara"/>
        <w:tabs>
          <w:tab w:val="left" w:pos="950"/>
          <w:tab w:val="left" w:pos="3050"/>
        </w:tabs>
        <w:jc w:val="center"/>
        <w:rPr>
          <w:sz w:val="22"/>
          <w:szCs w:val="22"/>
        </w:rPr>
      </w:pPr>
      <w:bookmarkStart w:id="0" w:name="DocsID"/>
      <w:bookmarkStart w:id="1" w:name="lt_pId000"/>
      <w:bookmarkStart w:id="2" w:name="_Hlk101860809"/>
      <w:bookmarkStart w:id="3" w:name="_Hlk106727154"/>
      <w:bookmarkStart w:id="4" w:name="_Hlk106727400"/>
      <w:bookmarkEnd w:id="0"/>
      <w:r w:rsidRPr="009D03DC">
        <w:rPr>
          <w:sz w:val="22"/>
          <w:szCs w:val="22"/>
        </w:rPr>
        <w:t>[</w:t>
      </w:r>
      <w:r w:rsidR="00614504" w:rsidRPr="009D03DC">
        <w:rPr>
          <w:sz w:val="22"/>
          <w:szCs w:val="22"/>
        </w:rPr>
        <w:t>REMARQUE </w:t>
      </w:r>
      <w:r w:rsidRPr="009D03DC">
        <w:rPr>
          <w:sz w:val="22"/>
          <w:szCs w:val="22"/>
        </w:rPr>
        <w:t xml:space="preserve">: </w:t>
      </w:r>
      <w:r w:rsidR="00614504" w:rsidRPr="009D03DC">
        <w:rPr>
          <w:sz w:val="22"/>
          <w:szCs w:val="22"/>
        </w:rPr>
        <w:t>Adapter</w:t>
      </w:r>
      <w:r w:rsidRPr="009D03DC">
        <w:rPr>
          <w:sz w:val="22"/>
          <w:szCs w:val="22"/>
        </w:rPr>
        <w:t xml:space="preserve"> les légendes requises ou </w:t>
      </w:r>
      <w:r w:rsidR="00614504" w:rsidRPr="009D03DC">
        <w:rPr>
          <w:sz w:val="22"/>
          <w:szCs w:val="22"/>
        </w:rPr>
        <w:t>pertinentes selon</w:t>
      </w:r>
      <w:r w:rsidRPr="009D03DC">
        <w:rPr>
          <w:sz w:val="22"/>
          <w:szCs w:val="22"/>
        </w:rPr>
        <w:t xml:space="preserve"> la structure de l’</w:t>
      </w:r>
      <w:r w:rsidR="00614504" w:rsidRPr="009D03DC">
        <w:rPr>
          <w:sz w:val="22"/>
          <w:szCs w:val="22"/>
        </w:rPr>
        <w:t>émission</w:t>
      </w:r>
      <w:r w:rsidRPr="009D03DC">
        <w:rPr>
          <w:sz w:val="22"/>
          <w:szCs w:val="22"/>
        </w:rPr>
        <w:t>]</w:t>
      </w:r>
      <w:bookmarkEnd w:id="1"/>
    </w:p>
    <w:p w14:paraId="55C329FF" w14:textId="77777777" w:rsidR="00A00E09" w:rsidRPr="009D03DC" w:rsidRDefault="00AB0CFF" w:rsidP="0094446D">
      <w:pPr>
        <w:pStyle w:val="OHHpara"/>
        <w:jc w:val="center"/>
        <w:rPr>
          <w:b/>
          <w:bCs/>
          <w:sz w:val="22"/>
          <w:szCs w:val="22"/>
        </w:rPr>
      </w:pPr>
      <w:bookmarkStart w:id="5" w:name="lt_pId001"/>
      <w:r w:rsidRPr="009D03DC">
        <w:rPr>
          <w:b/>
          <w:bCs/>
          <w:sz w:val="22"/>
          <w:szCs w:val="22"/>
        </w:rPr>
        <w:t>[Logo de l’ÉMETTEUR]</w:t>
      </w:r>
      <w:bookmarkEnd w:id="5"/>
    </w:p>
    <w:p w14:paraId="3B2F0D4E" w14:textId="77777777" w:rsidR="003C5B7D" w:rsidRPr="009D03DC" w:rsidRDefault="00AB0CFF" w:rsidP="0094446D">
      <w:pPr>
        <w:pStyle w:val="OHHpara"/>
        <w:jc w:val="center"/>
        <w:rPr>
          <w:b/>
          <w:bCs/>
          <w:sz w:val="22"/>
          <w:szCs w:val="22"/>
        </w:rPr>
      </w:pPr>
      <w:bookmarkStart w:id="6" w:name="lt_pId002"/>
      <w:r w:rsidRPr="009D03DC">
        <w:rPr>
          <w:b/>
          <w:bCs/>
          <w:sz w:val="22"/>
          <w:szCs w:val="22"/>
        </w:rPr>
        <w:t>[Nom de l’ÉMETTEUR]</w:t>
      </w:r>
      <w:bookmarkEnd w:id="6"/>
    </w:p>
    <w:p w14:paraId="171E31DF" w14:textId="77777777" w:rsidR="00614504" w:rsidRPr="009D03DC" w:rsidRDefault="00AB0CFF" w:rsidP="0094446D">
      <w:pPr>
        <w:pStyle w:val="OHHpara"/>
        <w:jc w:val="center"/>
        <w:rPr>
          <w:rStyle w:val="Prompt"/>
          <w:rFonts w:ascii="Wingdings" w:hAnsi="Wingdings"/>
          <w:b/>
          <w:bCs/>
          <w:sz w:val="22"/>
          <w:szCs w:val="22"/>
        </w:rPr>
      </w:pPr>
      <w:bookmarkStart w:id="7" w:name="lt_pId003"/>
      <w:r w:rsidRPr="001E6936">
        <w:rPr>
          <w:b/>
          <w:bCs/>
          <w:sz w:val="22"/>
          <w:szCs w:val="22"/>
        </w:rPr>
        <w:t>Obligations</w:t>
      </w:r>
      <w:r w:rsidRPr="009D03DC">
        <w:rPr>
          <w:b/>
          <w:bCs/>
          <w:sz w:val="22"/>
          <w:szCs w:val="22"/>
        </w:rPr>
        <w:t xml:space="preserve"> à taux variable échues le </w:t>
      </w:r>
      <w:r w:rsidRPr="009D03DC">
        <w:rPr>
          <w:rStyle w:val="Prompt"/>
          <w:rFonts w:ascii="Wingdings" w:hAnsi="Wingdings"/>
          <w:b/>
          <w:bCs/>
          <w:sz w:val="22"/>
          <w:szCs w:val="22"/>
        </w:rPr>
        <w:sym w:font="Wingdings" w:char="F06C"/>
      </w:r>
      <w:r w:rsidRPr="009D03DC">
        <w:rPr>
          <w:b/>
          <w:bCs/>
          <w:sz w:val="22"/>
          <w:szCs w:val="22"/>
        </w:rPr>
        <w:t xml:space="preserve"> 20</w:t>
      </w:r>
      <w:r w:rsidRPr="009D03DC">
        <w:rPr>
          <w:rStyle w:val="Prompt"/>
          <w:rFonts w:ascii="Wingdings" w:hAnsi="Wingdings"/>
          <w:b/>
          <w:bCs/>
          <w:sz w:val="22"/>
          <w:szCs w:val="22"/>
        </w:rPr>
        <w:sym w:font="Wingdings" w:char="F06C"/>
      </w:r>
    </w:p>
    <w:p w14:paraId="7C6BE4E4" w14:textId="77777777" w:rsidR="000F48E6" w:rsidRPr="009D03DC" w:rsidRDefault="00AB0CFF" w:rsidP="0094446D">
      <w:pPr>
        <w:pStyle w:val="OHHpara"/>
        <w:jc w:val="center"/>
        <w:rPr>
          <w:b/>
          <w:bCs/>
          <w:sz w:val="20"/>
        </w:rPr>
      </w:pPr>
      <w:bookmarkStart w:id="8" w:name="lt_pId004"/>
      <w:bookmarkEnd w:id="7"/>
      <w:r w:rsidRPr="009D03DC">
        <w:rPr>
          <w:rStyle w:val="Prompt"/>
          <w:b/>
          <w:bCs/>
          <w:sz w:val="22"/>
          <w:szCs w:val="22"/>
        </w:rPr>
        <w:t>[</w:t>
      </w:r>
      <w:r w:rsidR="00256086" w:rsidRPr="009D03DC">
        <w:rPr>
          <w:rStyle w:val="Prompt"/>
          <w:b/>
          <w:bCs/>
          <w:sz w:val="22"/>
          <w:szCs w:val="22"/>
        </w:rPr>
        <w:t>Version i</w:t>
      </w:r>
      <w:r w:rsidRPr="009D03DC">
        <w:rPr>
          <w:rStyle w:val="Prompt"/>
          <w:b/>
          <w:bCs/>
          <w:sz w:val="22"/>
          <w:szCs w:val="22"/>
        </w:rPr>
        <w:t>ndicati</w:t>
      </w:r>
      <w:r w:rsidR="00256086" w:rsidRPr="009D03DC">
        <w:rPr>
          <w:rStyle w:val="Prompt"/>
          <w:b/>
          <w:bCs/>
          <w:sz w:val="22"/>
          <w:szCs w:val="22"/>
        </w:rPr>
        <w:t>ve</w:t>
      </w:r>
      <w:r w:rsidRPr="009D03DC">
        <w:rPr>
          <w:rStyle w:val="Prompt"/>
          <w:b/>
          <w:bCs/>
          <w:sz w:val="22"/>
          <w:szCs w:val="22"/>
        </w:rPr>
        <w:t>/</w:t>
      </w:r>
      <w:r w:rsidR="00256086" w:rsidRPr="009D03DC">
        <w:rPr>
          <w:rStyle w:val="Prompt"/>
          <w:b/>
          <w:bCs/>
          <w:sz w:val="22"/>
          <w:szCs w:val="22"/>
        </w:rPr>
        <w:t>finale</w:t>
      </w:r>
      <w:r w:rsidRPr="009D03DC">
        <w:rPr>
          <w:rStyle w:val="Prompt"/>
          <w:b/>
          <w:bCs/>
          <w:sz w:val="22"/>
          <w:szCs w:val="22"/>
        </w:rPr>
        <w:t xml:space="preserve">] </w:t>
      </w:r>
      <w:r w:rsidR="00614504" w:rsidRPr="009D03DC">
        <w:rPr>
          <w:rStyle w:val="Prompt"/>
          <w:b/>
          <w:bCs/>
          <w:sz w:val="22"/>
          <w:szCs w:val="22"/>
        </w:rPr>
        <w:t>Modalités</w:t>
      </w:r>
      <w:bookmarkEnd w:id="8"/>
      <w:r w:rsidR="00224D8A" w:rsidRPr="009D03DC">
        <w:rPr>
          <w:b/>
          <w:bCs/>
          <w:sz w:val="22"/>
          <w:szCs w:val="22"/>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25"/>
        <w:gridCol w:w="6925"/>
      </w:tblGrid>
      <w:tr w:rsidR="00EB3F17" w14:paraId="6613AAF0" w14:textId="77777777" w:rsidTr="00224D8A">
        <w:tc>
          <w:tcPr>
            <w:tcW w:w="2425" w:type="dxa"/>
          </w:tcPr>
          <w:p w14:paraId="5238F776" w14:textId="77777777" w:rsidR="005377D6" w:rsidRPr="009D03DC" w:rsidRDefault="00AB0CFF" w:rsidP="005377D6">
            <w:pPr>
              <w:pStyle w:val="OHHpara"/>
              <w:rPr>
                <w:b/>
                <w:bCs/>
                <w:sz w:val="20"/>
              </w:rPr>
            </w:pPr>
            <w:bookmarkStart w:id="9" w:name="lt_pId005"/>
            <w:r w:rsidRPr="009D03DC">
              <w:rPr>
                <w:b/>
                <w:bCs/>
                <w:sz w:val="20"/>
              </w:rPr>
              <w:t>Émetteur</w:t>
            </w:r>
            <w:bookmarkEnd w:id="9"/>
            <w:r w:rsidR="00256086" w:rsidRPr="009D03DC">
              <w:rPr>
                <w:b/>
                <w:bCs/>
                <w:sz w:val="20"/>
              </w:rPr>
              <w:t> :</w:t>
            </w:r>
            <w:r w:rsidRPr="009D03DC">
              <w:rPr>
                <w:b/>
                <w:bCs/>
                <w:sz w:val="20"/>
              </w:rPr>
              <w:t xml:space="preserve">  </w:t>
            </w:r>
          </w:p>
        </w:tc>
        <w:tc>
          <w:tcPr>
            <w:tcW w:w="6925" w:type="dxa"/>
          </w:tcPr>
          <w:p w14:paraId="6E7A54CA" w14:textId="77777777" w:rsidR="005377D6" w:rsidRPr="009D03DC" w:rsidRDefault="00AB0CFF" w:rsidP="005377D6">
            <w:pPr>
              <w:pStyle w:val="OHHpara"/>
              <w:rPr>
                <w:sz w:val="20"/>
              </w:rPr>
            </w:pPr>
            <w:r w:rsidRPr="009D03DC">
              <w:rPr>
                <w:rStyle w:val="Prompt"/>
                <w:rFonts w:ascii="Wingdings" w:hAnsi="Wingdings"/>
                <w:sz w:val="20"/>
              </w:rPr>
              <w:sym w:font="Wingdings" w:char="F06C"/>
            </w:r>
          </w:p>
        </w:tc>
      </w:tr>
      <w:tr w:rsidR="00EB3F17" w14:paraId="10500C62" w14:textId="77777777" w:rsidTr="00224D8A">
        <w:tc>
          <w:tcPr>
            <w:tcW w:w="2425" w:type="dxa"/>
          </w:tcPr>
          <w:p w14:paraId="1B91A636" w14:textId="77777777" w:rsidR="005377D6" w:rsidRPr="009D03DC" w:rsidRDefault="00AB0CFF" w:rsidP="005377D6">
            <w:pPr>
              <w:pStyle w:val="OHHpara"/>
              <w:rPr>
                <w:b/>
                <w:bCs/>
                <w:sz w:val="20"/>
              </w:rPr>
            </w:pPr>
            <w:bookmarkStart w:id="10" w:name="lt_pId006"/>
            <w:r w:rsidRPr="009D03DC">
              <w:rPr>
                <w:b/>
                <w:bCs/>
                <w:sz w:val="20"/>
              </w:rPr>
              <w:t>Émission :</w:t>
            </w:r>
            <w:bookmarkEnd w:id="10"/>
          </w:p>
        </w:tc>
        <w:tc>
          <w:tcPr>
            <w:tcW w:w="6925" w:type="dxa"/>
          </w:tcPr>
          <w:p w14:paraId="3DA2241C" w14:textId="77777777" w:rsidR="005377D6" w:rsidRPr="009D03DC" w:rsidRDefault="00AB0CFF" w:rsidP="005377D6">
            <w:pPr>
              <w:pStyle w:val="OHHpara"/>
              <w:rPr>
                <w:sz w:val="20"/>
              </w:rPr>
            </w:pPr>
            <w:r w:rsidRPr="009D03DC">
              <w:rPr>
                <w:rStyle w:val="Prompt"/>
                <w:rFonts w:ascii="Wingdings" w:hAnsi="Wingdings"/>
                <w:sz w:val="20"/>
              </w:rPr>
              <w:sym w:font="Wingdings" w:char="F06C"/>
            </w:r>
            <w:r w:rsidR="00EA5EF8" w:rsidRPr="009D03DC">
              <w:rPr>
                <w:rStyle w:val="Prompt"/>
                <w:sz w:val="20"/>
              </w:rPr>
              <w:t xml:space="preserve"> </w:t>
            </w:r>
            <w:bookmarkStart w:id="11" w:name="lt_pId007"/>
            <w:r w:rsidR="00256086" w:rsidRPr="009D03DC">
              <w:rPr>
                <w:rStyle w:val="Prompt"/>
                <w:sz w:val="20"/>
              </w:rPr>
              <w:t>(les « Obligations »</w:t>
            </w:r>
            <w:r w:rsidR="00EA5EF8" w:rsidRPr="009D03DC">
              <w:rPr>
                <w:rStyle w:val="Prompt"/>
                <w:sz w:val="20"/>
              </w:rPr>
              <w:t>)</w:t>
            </w:r>
            <w:bookmarkEnd w:id="11"/>
          </w:p>
        </w:tc>
      </w:tr>
      <w:tr w:rsidR="00EB3F17" w14:paraId="14D8C0CD" w14:textId="77777777" w:rsidTr="00224D8A">
        <w:tc>
          <w:tcPr>
            <w:tcW w:w="2425" w:type="dxa"/>
          </w:tcPr>
          <w:p w14:paraId="69F7C6A5" w14:textId="77777777" w:rsidR="00D3153B" w:rsidRPr="009D03DC" w:rsidRDefault="00AB0CFF" w:rsidP="005377D6">
            <w:pPr>
              <w:pStyle w:val="OHHpara"/>
              <w:rPr>
                <w:b/>
                <w:bCs/>
                <w:sz w:val="20"/>
              </w:rPr>
            </w:pPr>
            <w:bookmarkStart w:id="12" w:name="lt_pId008"/>
            <w:r w:rsidRPr="009D03DC">
              <w:rPr>
                <w:b/>
                <w:bCs/>
                <w:sz w:val="20"/>
              </w:rPr>
              <w:t>Notes</w:t>
            </w:r>
            <w:r w:rsidR="00037436" w:rsidRPr="009D03DC">
              <w:rPr>
                <w:b/>
                <w:bCs/>
                <w:sz w:val="20"/>
              </w:rPr>
              <w:t xml:space="preserve"> de crédit attendues</w:t>
            </w:r>
            <w:bookmarkStart w:id="13" w:name="lt_pId008_leftovers"/>
            <w:r>
              <w:rPr>
                <w:rStyle w:val="FootnoteReference"/>
                <w:b/>
                <w:bCs/>
                <w:sz w:val="20"/>
              </w:rPr>
              <w:footnoteReference w:id="1"/>
            </w:r>
            <w:bookmarkEnd w:id="13"/>
            <w:r w:rsidR="00037436" w:rsidRPr="009D03DC">
              <w:rPr>
                <w:b/>
                <w:bCs/>
                <w:sz w:val="20"/>
              </w:rPr>
              <w:t xml:space="preserve"> :</w:t>
            </w:r>
            <w:bookmarkEnd w:id="12"/>
          </w:p>
        </w:tc>
        <w:tc>
          <w:tcPr>
            <w:tcW w:w="6925" w:type="dxa"/>
          </w:tcPr>
          <w:p w14:paraId="618C86E0" w14:textId="77777777" w:rsidR="00D3153B" w:rsidRPr="006F7A68" w:rsidRDefault="00AB0CFF" w:rsidP="00AF1655">
            <w:pPr>
              <w:pStyle w:val="OHHpara"/>
              <w:spacing w:after="0"/>
              <w:rPr>
                <w:sz w:val="20"/>
                <w:lang w:val="en-CA"/>
              </w:rPr>
            </w:pPr>
            <w:bookmarkStart w:id="15" w:name="lt_pId009"/>
            <w:r w:rsidRPr="006F7A68">
              <w:rPr>
                <w:sz w:val="20"/>
                <w:lang w:val="en-CA"/>
              </w:rPr>
              <w:t xml:space="preserve">DBRS : </w:t>
            </w:r>
            <w:bookmarkEnd w:id="15"/>
            <w:r w:rsidRPr="009D03DC">
              <w:rPr>
                <w:rStyle w:val="Prompt"/>
                <w:rFonts w:ascii="Wingdings" w:hAnsi="Wingdings"/>
                <w:sz w:val="20"/>
              </w:rPr>
              <w:sym w:font="Wingdings" w:char="F06C"/>
            </w:r>
          </w:p>
          <w:p w14:paraId="671F1E88" w14:textId="77777777" w:rsidR="00AF1655" w:rsidRPr="006F7A68" w:rsidRDefault="00AB0CFF" w:rsidP="00AF1655">
            <w:pPr>
              <w:pStyle w:val="OHHpara"/>
              <w:spacing w:after="0"/>
              <w:rPr>
                <w:sz w:val="20"/>
                <w:lang w:val="en-CA"/>
              </w:rPr>
            </w:pPr>
            <w:bookmarkStart w:id="16" w:name="lt_pId010"/>
            <w:r w:rsidRPr="006F7A68">
              <w:rPr>
                <w:sz w:val="20"/>
                <w:lang w:val="en-CA"/>
              </w:rPr>
              <w:t xml:space="preserve">Fitch : </w:t>
            </w:r>
            <w:bookmarkEnd w:id="16"/>
            <w:r w:rsidRPr="009D03DC">
              <w:rPr>
                <w:rStyle w:val="Prompt"/>
                <w:rFonts w:ascii="Wingdings" w:hAnsi="Wingdings"/>
                <w:sz w:val="20"/>
              </w:rPr>
              <w:sym w:font="Wingdings" w:char="F06C"/>
            </w:r>
          </w:p>
          <w:p w14:paraId="2FE33B79" w14:textId="77777777" w:rsidR="00AF1655" w:rsidRPr="006F7A68" w:rsidRDefault="00AB0CFF" w:rsidP="00AF1655">
            <w:pPr>
              <w:pStyle w:val="OHHpara"/>
              <w:spacing w:after="0"/>
              <w:rPr>
                <w:sz w:val="20"/>
                <w:lang w:val="en-CA"/>
              </w:rPr>
            </w:pPr>
            <w:bookmarkStart w:id="17" w:name="lt_pId011"/>
            <w:r w:rsidRPr="006F7A68">
              <w:rPr>
                <w:sz w:val="20"/>
                <w:lang w:val="en-CA"/>
              </w:rPr>
              <w:t>Moody’s :</w:t>
            </w:r>
            <w:bookmarkEnd w:id="17"/>
            <w:r w:rsidRPr="006F7A68">
              <w:rPr>
                <w:rStyle w:val="Prompt"/>
                <w:sz w:val="20"/>
                <w:lang w:val="en-CA"/>
              </w:rPr>
              <w:t xml:space="preserve"> </w:t>
            </w:r>
            <w:r w:rsidRPr="009D03DC">
              <w:rPr>
                <w:rStyle w:val="Prompt"/>
                <w:rFonts w:ascii="Wingdings" w:hAnsi="Wingdings"/>
                <w:sz w:val="20"/>
              </w:rPr>
              <w:sym w:font="Wingdings" w:char="F06C"/>
            </w:r>
          </w:p>
          <w:p w14:paraId="3B6D524C" w14:textId="77777777" w:rsidR="00AF1655" w:rsidRPr="006F7A68" w:rsidRDefault="00AB0CFF" w:rsidP="00AF1655">
            <w:pPr>
              <w:pStyle w:val="OHHpara"/>
              <w:rPr>
                <w:sz w:val="20"/>
                <w:lang w:val="en-CA"/>
              </w:rPr>
            </w:pPr>
            <w:bookmarkStart w:id="18" w:name="lt_pId012"/>
            <w:r w:rsidRPr="006F7A68">
              <w:rPr>
                <w:sz w:val="20"/>
                <w:lang w:val="en-CA"/>
              </w:rPr>
              <w:t xml:space="preserve">S&amp;P : </w:t>
            </w:r>
            <w:bookmarkEnd w:id="18"/>
            <w:r w:rsidRPr="009D03DC">
              <w:rPr>
                <w:rStyle w:val="Prompt"/>
                <w:rFonts w:ascii="Wingdings" w:hAnsi="Wingdings"/>
                <w:sz w:val="20"/>
              </w:rPr>
              <w:sym w:font="Wingdings" w:char="F06C"/>
            </w:r>
          </w:p>
          <w:p w14:paraId="6BFAF012" w14:textId="77777777" w:rsidR="00AF1655" w:rsidRPr="009D03DC" w:rsidRDefault="00AB0CFF" w:rsidP="005377D6">
            <w:pPr>
              <w:pStyle w:val="OHHpara"/>
              <w:rPr>
                <w:b/>
                <w:bCs/>
                <w:sz w:val="20"/>
              </w:rPr>
            </w:pPr>
            <w:bookmarkStart w:id="19" w:name="lt_pId013"/>
            <w:r w:rsidRPr="009D03DC">
              <w:rPr>
                <w:b/>
                <w:bCs/>
                <w:sz w:val="20"/>
              </w:rPr>
              <w:t>[</w:t>
            </w:r>
            <w:r w:rsidR="00256086" w:rsidRPr="009D03DC">
              <w:rPr>
                <w:b/>
                <w:bCs/>
                <w:sz w:val="20"/>
              </w:rPr>
              <w:t>REMARQUE</w:t>
            </w:r>
            <w:r w:rsidRPr="009D03DC">
              <w:rPr>
                <w:b/>
                <w:bCs/>
                <w:sz w:val="20"/>
              </w:rPr>
              <w:t xml:space="preserve"> : </w:t>
            </w:r>
            <w:r w:rsidR="00256086" w:rsidRPr="009D03DC">
              <w:rPr>
                <w:b/>
                <w:bCs/>
                <w:sz w:val="20"/>
              </w:rPr>
              <w:t>Modifier</w:t>
            </w:r>
            <w:r w:rsidRPr="009D03DC">
              <w:rPr>
                <w:b/>
                <w:bCs/>
                <w:sz w:val="20"/>
              </w:rPr>
              <w:t xml:space="preserve">, s’il y a lieu, les </w:t>
            </w:r>
            <w:r w:rsidR="00256086" w:rsidRPr="009D03DC">
              <w:rPr>
                <w:b/>
                <w:bCs/>
                <w:sz w:val="20"/>
              </w:rPr>
              <w:t>notes</w:t>
            </w:r>
            <w:r w:rsidRPr="009D03DC">
              <w:rPr>
                <w:b/>
                <w:bCs/>
                <w:sz w:val="20"/>
              </w:rPr>
              <w:t xml:space="preserve"> attribuées aux </w:t>
            </w:r>
            <w:r w:rsidR="00256086" w:rsidRPr="009D03DC">
              <w:rPr>
                <w:b/>
                <w:bCs/>
                <w:sz w:val="20"/>
              </w:rPr>
              <w:t>Obligations</w:t>
            </w:r>
            <w:r w:rsidRPr="009D03DC">
              <w:rPr>
                <w:b/>
                <w:bCs/>
                <w:sz w:val="20"/>
              </w:rPr>
              <w:t>]</w:t>
            </w:r>
            <w:bookmarkEnd w:id="19"/>
          </w:p>
        </w:tc>
      </w:tr>
      <w:tr w:rsidR="00EB3F17" w14:paraId="00AB013E" w14:textId="77777777" w:rsidTr="00224D8A">
        <w:tc>
          <w:tcPr>
            <w:tcW w:w="2425" w:type="dxa"/>
          </w:tcPr>
          <w:p w14:paraId="5A693F6E" w14:textId="77777777" w:rsidR="005377D6" w:rsidRPr="009D03DC" w:rsidRDefault="00AB0CFF" w:rsidP="005377D6">
            <w:pPr>
              <w:pStyle w:val="OHHpara"/>
              <w:rPr>
                <w:b/>
                <w:bCs/>
                <w:sz w:val="20"/>
              </w:rPr>
            </w:pPr>
            <w:bookmarkStart w:id="20" w:name="lt_pId014"/>
            <w:r>
              <w:rPr>
                <w:b/>
                <w:bCs/>
                <w:sz w:val="20"/>
              </w:rPr>
              <w:t>Montant en capital</w:t>
            </w:r>
            <w:r w:rsidRPr="009D03DC">
              <w:rPr>
                <w:b/>
                <w:bCs/>
                <w:sz w:val="20"/>
              </w:rPr>
              <w:t xml:space="preserve"> </w:t>
            </w:r>
            <w:r w:rsidR="00037436" w:rsidRPr="009D03DC">
              <w:rPr>
                <w:b/>
                <w:bCs/>
                <w:sz w:val="20"/>
              </w:rPr>
              <w:t>:</w:t>
            </w:r>
            <w:bookmarkEnd w:id="20"/>
            <w:r w:rsidR="00037436" w:rsidRPr="009D03DC">
              <w:rPr>
                <w:b/>
                <w:bCs/>
                <w:sz w:val="20"/>
              </w:rPr>
              <w:t xml:space="preserve"> </w:t>
            </w:r>
          </w:p>
        </w:tc>
        <w:tc>
          <w:tcPr>
            <w:tcW w:w="6925" w:type="dxa"/>
          </w:tcPr>
          <w:p w14:paraId="12B33954" w14:textId="77777777" w:rsidR="005377D6" w:rsidRPr="009D03DC" w:rsidRDefault="00AB0CFF" w:rsidP="005377D6">
            <w:pPr>
              <w:pStyle w:val="OHHpara"/>
              <w:rPr>
                <w:b/>
                <w:bCs/>
                <w:sz w:val="20"/>
              </w:rPr>
            </w:pPr>
            <w:r w:rsidRPr="009D03DC">
              <w:rPr>
                <w:sz w:val="20"/>
              </w:rPr>
              <w:t>$</w:t>
            </w:r>
            <w:r w:rsidR="007C1801" w:rsidRPr="009D03DC">
              <w:rPr>
                <w:rStyle w:val="Prompt"/>
                <w:rFonts w:ascii="Wingdings" w:hAnsi="Wingdings"/>
                <w:sz w:val="20"/>
              </w:rPr>
              <w:sym w:font="Wingdings" w:char="F06C"/>
            </w:r>
            <w:r w:rsidRPr="009D03DC">
              <w:rPr>
                <w:sz w:val="20"/>
              </w:rPr>
              <w:t xml:space="preserve">  </w:t>
            </w:r>
          </w:p>
        </w:tc>
      </w:tr>
      <w:tr w:rsidR="00EB3F17" w14:paraId="6706181B" w14:textId="77777777" w:rsidTr="00224D8A">
        <w:tc>
          <w:tcPr>
            <w:tcW w:w="2425" w:type="dxa"/>
          </w:tcPr>
          <w:p w14:paraId="3B5B6411" w14:textId="77777777" w:rsidR="005377D6" w:rsidRPr="009D03DC" w:rsidRDefault="00AB0CFF" w:rsidP="005377D6">
            <w:pPr>
              <w:pStyle w:val="OHHpara"/>
              <w:rPr>
                <w:b/>
                <w:bCs/>
                <w:sz w:val="20"/>
              </w:rPr>
            </w:pPr>
            <w:bookmarkStart w:id="21" w:name="lt_pId016"/>
            <w:r w:rsidRPr="009D03DC">
              <w:rPr>
                <w:b/>
                <w:bCs/>
                <w:sz w:val="20"/>
              </w:rPr>
              <w:t>Date d</w:t>
            </w:r>
            <w:r w:rsidR="00720DB1" w:rsidRPr="009D03DC">
              <w:rPr>
                <w:b/>
                <w:bCs/>
                <w:sz w:val="20"/>
              </w:rPr>
              <w:t>’établissement du prix</w:t>
            </w:r>
            <w:r w:rsidR="00720DB1" w:rsidRPr="009D03DC">
              <w:t> </w:t>
            </w:r>
            <w:r w:rsidRPr="009D03DC">
              <w:rPr>
                <w:b/>
                <w:bCs/>
                <w:sz w:val="20"/>
              </w:rPr>
              <w:t>:</w:t>
            </w:r>
            <w:bookmarkEnd w:id="21"/>
          </w:p>
        </w:tc>
        <w:tc>
          <w:tcPr>
            <w:tcW w:w="6925" w:type="dxa"/>
          </w:tcPr>
          <w:p w14:paraId="3C1AB106" w14:textId="77777777" w:rsidR="005377D6" w:rsidRPr="009D03DC" w:rsidRDefault="00AB0CFF" w:rsidP="005377D6">
            <w:pPr>
              <w:pStyle w:val="OHHpara"/>
              <w:rPr>
                <w:sz w:val="20"/>
              </w:rPr>
            </w:pPr>
            <w:r w:rsidRPr="009D03DC">
              <w:rPr>
                <w:rStyle w:val="Prompt"/>
                <w:rFonts w:ascii="Wingdings" w:hAnsi="Wingdings"/>
                <w:sz w:val="20"/>
              </w:rPr>
              <w:sym w:font="Wingdings" w:char="F06C"/>
            </w:r>
            <w:r w:rsidR="007C1801" w:rsidRPr="009D03DC">
              <w:rPr>
                <w:sz w:val="20"/>
              </w:rPr>
              <w:t xml:space="preserve"> 2022</w:t>
            </w:r>
          </w:p>
        </w:tc>
      </w:tr>
      <w:tr w:rsidR="00EB3F17" w14:paraId="72B4C2C8" w14:textId="77777777" w:rsidTr="00224D8A">
        <w:tc>
          <w:tcPr>
            <w:tcW w:w="2425" w:type="dxa"/>
          </w:tcPr>
          <w:p w14:paraId="6FD7B758" w14:textId="77777777" w:rsidR="005377D6" w:rsidRPr="009D03DC" w:rsidRDefault="00AB0CFF" w:rsidP="005377D6">
            <w:pPr>
              <w:pStyle w:val="OHHpara"/>
              <w:rPr>
                <w:b/>
                <w:bCs/>
                <w:sz w:val="20"/>
              </w:rPr>
            </w:pPr>
            <w:bookmarkStart w:id="22" w:name="lt_pId018"/>
            <w:r w:rsidRPr="009D03DC">
              <w:rPr>
                <w:b/>
                <w:bCs/>
                <w:sz w:val="20"/>
              </w:rPr>
              <w:t>Date de règlement :</w:t>
            </w:r>
            <w:bookmarkEnd w:id="22"/>
            <w:r w:rsidRPr="009D03DC">
              <w:rPr>
                <w:b/>
                <w:bCs/>
                <w:sz w:val="20"/>
              </w:rPr>
              <w:t xml:space="preserve"> </w:t>
            </w:r>
          </w:p>
        </w:tc>
        <w:tc>
          <w:tcPr>
            <w:tcW w:w="6925" w:type="dxa"/>
          </w:tcPr>
          <w:p w14:paraId="41A1AE9E" w14:textId="77777777" w:rsidR="005377D6" w:rsidRPr="009D03DC" w:rsidRDefault="00AB0CFF" w:rsidP="005377D6">
            <w:pPr>
              <w:pStyle w:val="OHHpara"/>
              <w:rPr>
                <w:b/>
                <w:bCs/>
                <w:sz w:val="20"/>
              </w:rPr>
            </w:pPr>
            <w:r w:rsidRPr="009D03DC">
              <w:rPr>
                <w:rStyle w:val="Prompt"/>
                <w:rFonts w:ascii="Wingdings" w:hAnsi="Wingdings"/>
                <w:sz w:val="20"/>
              </w:rPr>
              <w:sym w:font="Wingdings" w:char="F06C"/>
            </w:r>
            <w:bookmarkStart w:id="23" w:name="lt_pId019"/>
            <w:r w:rsidRPr="009D03DC">
              <w:rPr>
                <w:sz w:val="20"/>
              </w:rPr>
              <w:t xml:space="preserve"> (T+)</w:t>
            </w:r>
            <w:bookmarkEnd w:id="23"/>
            <w:r w:rsidRPr="009D03DC">
              <w:rPr>
                <w:sz w:val="20"/>
              </w:rPr>
              <w:t xml:space="preserve"> </w:t>
            </w:r>
            <w:r w:rsidR="0078597A">
              <w:rPr>
                <w:sz w:val="20"/>
              </w:rPr>
              <w:t>2022</w:t>
            </w:r>
          </w:p>
        </w:tc>
      </w:tr>
      <w:tr w:rsidR="00EB3F17" w14:paraId="10E2C4CD" w14:textId="77777777" w:rsidTr="00224D8A">
        <w:tc>
          <w:tcPr>
            <w:tcW w:w="2425" w:type="dxa"/>
          </w:tcPr>
          <w:p w14:paraId="1BA15544" w14:textId="77777777" w:rsidR="005377D6" w:rsidRPr="009D03DC" w:rsidRDefault="00AB0CFF" w:rsidP="005377D6">
            <w:pPr>
              <w:pStyle w:val="OHHpara"/>
              <w:rPr>
                <w:b/>
                <w:bCs/>
                <w:sz w:val="20"/>
              </w:rPr>
            </w:pPr>
            <w:bookmarkStart w:id="24" w:name="lt_pId020"/>
            <w:r w:rsidRPr="009D03DC">
              <w:rPr>
                <w:b/>
                <w:bCs/>
                <w:sz w:val="20"/>
              </w:rPr>
              <w:t>Date d’échéance :</w:t>
            </w:r>
            <w:bookmarkEnd w:id="24"/>
          </w:p>
        </w:tc>
        <w:tc>
          <w:tcPr>
            <w:tcW w:w="6925" w:type="dxa"/>
          </w:tcPr>
          <w:p w14:paraId="1750C6AE" w14:textId="77777777" w:rsidR="005377D6" w:rsidRPr="009D03DC" w:rsidRDefault="00AB0CFF" w:rsidP="005377D6">
            <w:pPr>
              <w:pStyle w:val="OHHpara"/>
              <w:rPr>
                <w:b/>
                <w:bCs/>
                <w:sz w:val="20"/>
              </w:rPr>
            </w:pPr>
            <w:r w:rsidRPr="009D03DC">
              <w:rPr>
                <w:rStyle w:val="Prompt"/>
                <w:rFonts w:ascii="Wingdings" w:hAnsi="Wingdings"/>
                <w:sz w:val="20"/>
              </w:rPr>
              <w:sym w:font="Wingdings" w:char="F06C"/>
            </w:r>
          </w:p>
        </w:tc>
      </w:tr>
      <w:tr w:rsidR="00EB3F17" w14:paraId="39EB9EA2" w14:textId="77777777" w:rsidTr="00224D8A">
        <w:tc>
          <w:tcPr>
            <w:tcW w:w="2425" w:type="dxa"/>
          </w:tcPr>
          <w:p w14:paraId="66A499CD" w14:textId="77777777" w:rsidR="004A5AA2" w:rsidRPr="009D03DC" w:rsidRDefault="00AB0CFF" w:rsidP="004A5AA2">
            <w:pPr>
              <w:pStyle w:val="OHHpara"/>
              <w:rPr>
                <w:b/>
                <w:bCs/>
                <w:sz w:val="20"/>
              </w:rPr>
            </w:pPr>
            <w:bookmarkStart w:id="25" w:name="lt_pId021"/>
            <w:r w:rsidRPr="009D03DC">
              <w:rPr>
                <w:b/>
                <w:bCs/>
                <w:sz w:val="20"/>
              </w:rPr>
              <w:t>Prix à l’émission :</w:t>
            </w:r>
            <w:bookmarkEnd w:id="25"/>
          </w:p>
        </w:tc>
        <w:tc>
          <w:tcPr>
            <w:tcW w:w="6925" w:type="dxa"/>
          </w:tcPr>
          <w:p w14:paraId="53AD498E" w14:textId="77777777" w:rsidR="004A5AA2" w:rsidRPr="009D03DC" w:rsidRDefault="00AB0CFF" w:rsidP="004A5AA2">
            <w:pPr>
              <w:pStyle w:val="OHHpara"/>
              <w:rPr>
                <w:sz w:val="20"/>
              </w:rPr>
            </w:pPr>
            <w:r w:rsidRPr="009D03DC">
              <w:rPr>
                <w:rStyle w:val="Prompt"/>
                <w:rFonts w:ascii="Wingdings" w:hAnsi="Wingdings"/>
                <w:sz w:val="20"/>
              </w:rPr>
              <w:sym w:font="Wingdings" w:char="F06C"/>
            </w:r>
            <w:r w:rsidRPr="009D03DC">
              <w:rPr>
                <w:rStyle w:val="Prompt"/>
                <w:sz w:val="20"/>
              </w:rPr>
              <w:t xml:space="preserve"> $</w:t>
            </w:r>
            <w:r w:rsidRPr="009D03DC">
              <w:rPr>
                <w:rStyle w:val="Prompt"/>
              </w:rPr>
              <w:t xml:space="preserve"> </w:t>
            </w:r>
            <w:r w:rsidRPr="009D03DC">
              <w:rPr>
                <w:rStyle w:val="Prompt"/>
                <w:sz w:val="20"/>
              </w:rPr>
              <w:t xml:space="preserve">pour 1 000 $ de </w:t>
            </w:r>
            <w:r w:rsidR="00187BF0">
              <w:rPr>
                <w:rStyle w:val="Prompt"/>
                <w:sz w:val="20"/>
              </w:rPr>
              <w:t>montant en capital</w:t>
            </w:r>
          </w:p>
        </w:tc>
      </w:tr>
      <w:tr w:rsidR="00EB3F17" w14:paraId="02A30EA5" w14:textId="77777777" w:rsidTr="00224D8A">
        <w:tc>
          <w:tcPr>
            <w:tcW w:w="2425" w:type="dxa"/>
          </w:tcPr>
          <w:p w14:paraId="1F3182B9" w14:textId="77777777" w:rsidR="00B41505" w:rsidRPr="009D03DC" w:rsidRDefault="00AB0CFF" w:rsidP="00B41505">
            <w:pPr>
              <w:pStyle w:val="OHHpara"/>
              <w:rPr>
                <w:b/>
                <w:bCs/>
                <w:sz w:val="20"/>
              </w:rPr>
            </w:pPr>
            <w:bookmarkStart w:id="26" w:name="lt_pId023"/>
            <w:r w:rsidRPr="009D03DC">
              <w:rPr>
                <w:b/>
                <w:bCs/>
                <w:sz w:val="20"/>
              </w:rPr>
              <w:t>Rang</w:t>
            </w:r>
            <w:r w:rsidR="00B92682" w:rsidRPr="009D03DC">
              <w:rPr>
                <w:b/>
                <w:bCs/>
                <w:sz w:val="20"/>
              </w:rPr>
              <w:t> </w:t>
            </w:r>
            <w:r w:rsidRPr="009D03DC">
              <w:rPr>
                <w:b/>
                <w:bCs/>
                <w:sz w:val="20"/>
              </w:rPr>
              <w:t>:</w:t>
            </w:r>
            <w:bookmarkEnd w:id="26"/>
          </w:p>
        </w:tc>
        <w:tc>
          <w:tcPr>
            <w:tcW w:w="6925" w:type="dxa"/>
          </w:tcPr>
          <w:p w14:paraId="4970ACD4" w14:textId="77777777" w:rsidR="00B41505" w:rsidRPr="009D03DC" w:rsidRDefault="00AB0CFF" w:rsidP="00B41505">
            <w:pPr>
              <w:pStyle w:val="OHHpara"/>
              <w:rPr>
                <w:sz w:val="20"/>
              </w:rPr>
            </w:pPr>
            <w:bookmarkStart w:id="27" w:name="lt_pId024"/>
            <w:r w:rsidRPr="009D03DC">
              <w:rPr>
                <w:sz w:val="20"/>
              </w:rPr>
              <w:t xml:space="preserve">Les </w:t>
            </w:r>
            <w:r w:rsidR="00B92682" w:rsidRPr="009D03DC">
              <w:rPr>
                <w:sz w:val="20"/>
              </w:rPr>
              <w:t>Obligations</w:t>
            </w:r>
            <w:r w:rsidRPr="009D03DC">
              <w:rPr>
                <w:sz w:val="20"/>
              </w:rPr>
              <w:t xml:space="preserve"> s</w:t>
            </w:r>
            <w:r w:rsidR="00B92682" w:rsidRPr="009D03DC">
              <w:rPr>
                <w:sz w:val="20"/>
              </w:rPr>
              <w:t>ont</w:t>
            </w:r>
            <w:r w:rsidRPr="009D03DC">
              <w:rPr>
                <w:sz w:val="20"/>
              </w:rPr>
              <w:t xml:space="preserve"> des obligations non garanties et non subordonnées de l’émetteur et ont un rang égal à toutes les obligations existantes et futures non garanties et non subordonnées </w:t>
            </w:r>
            <w:r w:rsidR="00B92682" w:rsidRPr="009D03DC">
              <w:rPr>
                <w:sz w:val="20"/>
              </w:rPr>
              <w:t>émises par</w:t>
            </w:r>
            <w:r w:rsidRPr="009D03DC">
              <w:rPr>
                <w:sz w:val="20"/>
              </w:rPr>
              <w:t xml:space="preserve"> la Société.</w:t>
            </w:r>
            <w:bookmarkEnd w:id="27"/>
            <w:r w:rsidRPr="009D03DC">
              <w:rPr>
                <w:sz w:val="20"/>
              </w:rPr>
              <w:t xml:space="preserve"> </w:t>
            </w:r>
            <w:r w:rsidRPr="009D03DC">
              <w:rPr>
                <w:b/>
                <w:bCs/>
                <w:sz w:val="20"/>
              </w:rPr>
              <w:t xml:space="preserve"> </w:t>
            </w:r>
            <w:bookmarkStart w:id="28" w:name="lt_pId025"/>
            <w:r w:rsidRPr="009D03DC">
              <w:rPr>
                <w:b/>
                <w:bCs/>
                <w:sz w:val="20"/>
              </w:rPr>
              <w:t>[</w:t>
            </w:r>
            <w:r w:rsidR="00B92682" w:rsidRPr="009D03DC">
              <w:rPr>
                <w:b/>
                <w:bCs/>
                <w:sz w:val="20"/>
              </w:rPr>
              <w:t>REMARQUE </w:t>
            </w:r>
            <w:r w:rsidRPr="009D03DC">
              <w:rPr>
                <w:b/>
                <w:bCs/>
                <w:sz w:val="20"/>
              </w:rPr>
              <w:t xml:space="preserve">: </w:t>
            </w:r>
            <w:r w:rsidR="00942A81" w:rsidRPr="009D03DC">
              <w:rPr>
                <w:b/>
                <w:bCs/>
                <w:sz w:val="20"/>
              </w:rPr>
              <w:t xml:space="preserve">Modifier </w:t>
            </w:r>
            <w:r w:rsidRPr="009D03DC">
              <w:rPr>
                <w:b/>
                <w:bCs/>
                <w:sz w:val="20"/>
              </w:rPr>
              <w:t>au besoin].</w:t>
            </w:r>
            <w:bookmarkEnd w:id="28"/>
          </w:p>
        </w:tc>
      </w:tr>
      <w:tr w:rsidR="00EB3F17" w14:paraId="17430870" w14:textId="77777777" w:rsidTr="00224D8A">
        <w:tc>
          <w:tcPr>
            <w:tcW w:w="2425" w:type="dxa"/>
          </w:tcPr>
          <w:p w14:paraId="44758A50" w14:textId="77777777" w:rsidR="00EA5EF8" w:rsidRPr="009D03DC" w:rsidRDefault="00AB0CFF" w:rsidP="005377D6">
            <w:pPr>
              <w:pStyle w:val="OHHpara"/>
              <w:rPr>
                <w:b/>
                <w:bCs/>
                <w:sz w:val="20"/>
              </w:rPr>
            </w:pPr>
            <w:bookmarkStart w:id="29" w:name="lt_pId026"/>
            <w:r w:rsidRPr="009D03DC">
              <w:rPr>
                <w:b/>
                <w:bCs/>
                <w:sz w:val="20"/>
              </w:rPr>
              <w:t>Taux d’intérêt</w:t>
            </w:r>
            <w:bookmarkEnd w:id="29"/>
            <w:r w:rsidRPr="009D03DC">
              <w:rPr>
                <w:b/>
                <w:bCs/>
                <w:sz w:val="20"/>
              </w:rPr>
              <w:t> :</w:t>
            </w:r>
          </w:p>
        </w:tc>
        <w:tc>
          <w:tcPr>
            <w:tcW w:w="6925" w:type="dxa"/>
          </w:tcPr>
          <w:p w14:paraId="6C47E5A5" w14:textId="77777777" w:rsidR="00EA5EF8" w:rsidRPr="009D03DC" w:rsidRDefault="00AB0CFF" w:rsidP="005377D6">
            <w:pPr>
              <w:pStyle w:val="OHHpara"/>
            </w:pPr>
            <w:bookmarkStart w:id="30" w:name="lt_pId027"/>
            <w:r w:rsidRPr="009D03DC">
              <w:rPr>
                <w:sz w:val="20"/>
              </w:rPr>
              <w:t xml:space="preserve">Pour chaque période </w:t>
            </w:r>
            <w:r w:rsidR="008D5099" w:rsidRPr="009D03DC">
              <w:rPr>
                <w:sz w:val="20"/>
              </w:rPr>
              <w:t xml:space="preserve">de calcul </w:t>
            </w:r>
            <w:r w:rsidRPr="009D03DC">
              <w:rPr>
                <w:sz w:val="20"/>
              </w:rPr>
              <w:t>d</w:t>
            </w:r>
            <w:r w:rsidR="008D5099" w:rsidRPr="009D03DC">
              <w:rPr>
                <w:sz w:val="20"/>
              </w:rPr>
              <w:t>es intérêts</w:t>
            </w:r>
            <w:r w:rsidRPr="009D03DC">
              <w:rPr>
                <w:sz w:val="20"/>
              </w:rPr>
              <w:t xml:space="preserve">, le taux annuel égal au </w:t>
            </w:r>
            <w:r w:rsidR="008D5099" w:rsidRPr="009D03DC">
              <w:rPr>
                <w:sz w:val="20"/>
              </w:rPr>
              <w:t xml:space="preserve">taux </w:t>
            </w:r>
            <w:r w:rsidRPr="009D03DC">
              <w:rPr>
                <w:sz w:val="20"/>
              </w:rPr>
              <w:t xml:space="preserve">CORRA </w:t>
            </w:r>
            <w:r w:rsidR="008D5099" w:rsidRPr="009D03DC">
              <w:rPr>
                <w:sz w:val="20"/>
              </w:rPr>
              <w:t xml:space="preserve">quotidien </w:t>
            </w:r>
            <w:r w:rsidRPr="009D03DC">
              <w:rPr>
                <w:sz w:val="20"/>
              </w:rPr>
              <w:t xml:space="preserve">composé </w:t>
            </w:r>
            <w:r w:rsidR="00C861E9" w:rsidRPr="009D03DC">
              <w:rPr>
                <w:sz w:val="20"/>
              </w:rPr>
              <w:t xml:space="preserve">à terme échu, </w:t>
            </w:r>
            <w:r w:rsidRPr="009D03DC">
              <w:rPr>
                <w:sz w:val="20"/>
              </w:rPr>
              <w:t xml:space="preserve">déterminé pour la période d’observation </w:t>
            </w:r>
            <w:r w:rsidR="008D5099" w:rsidRPr="009D03DC">
              <w:rPr>
                <w:sz w:val="20"/>
              </w:rPr>
              <w:t>applicable à</w:t>
            </w:r>
            <w:r w:rsidRPr="009D03DC">
              <w:rPr>
                <w:sz w:val="20"/>
              </w:rPr>
              <w:t xml:space="preserve"> cette période </w:t>
            </w:r>
            <w:r w:rsidRPr="006A1ED5">
              <w:rPr>
                <w:b/>
                <w:bCs/>
                <w:sz w:val="20"/>
              </w:rPr>
              <w:t>[</w:t>
            </w:r>
            <w:r w:rsidR="00C861E9" w:rsidRPr="006A1ED5">
              <w:rPr>
                <w:b/>
                <w:bCs/>
                <w:sz w:val="20"/>
              </w:rPr>
              <w:t xml:space="preserve">et </w:t>
            </w:r>
            <w:r w:rsidR="008D5099" w:rsidRPr="009D03DC">
              <w:rPr>
                <w:b/>
                <w:bCs/>
                <w:sz w:val="20"/>
              </w:rPr>
              <w:t>major</w:t>
            </w:r>
            <w:r w:rsidR="006A1ED5">
              <w:rPr>
                <w:b/>
                <w:bCs/>
                <w:sz w:val="20"/>
              </w:rPr>
              <w:t xml:space="preserve">é de </w:t>
            </w:r>
            <w:r w:rsidR="00AF79A1" w:rsidRPr="009D03DC">
              <w:rPr>
                <w:rStyle w:val="Prompt"/>
                <w:rFonts w:ascii="Wingdings" w:hAnsi="Wingdings"/>
                <w:sz w:val="20"/>
              </w:rPr>
              <w:sym w:font="Wingdings" w:char="F06C"/>
            </w:r>
            <w:r w:rsidR="006A1ED5">
              <w:t xml:space="preserve"> </w:t>
            </w:r>
            <w:r w:rsidR="008D5099" w:rsidRPr="009D03DC">
              <w:rPr>
                <w:rStyle w:val="Prompt"/>
                <w:b/>
                <w:bCs/>
                <w:sz w:val="20"/>
              </w:rPr>
              <w:t>%</w:t>
            </w:r>
            <w:r w:rsidRPr="009D03DC">
              <w:rPr>
                <w:sz w:val="20"/>
              </w:rPr>
              <w:t>], payable trimestriellement.</w:t>
            </w:r>
            <w:bookmarkEnd w:id="30"/>
            <w:r w:rsidR="0045327A" w:rsidRPr="009D03DC">
              <w:rPr>
                <w:rStyle w:val="Prompt"/>
                <w:sz w:val="20"/>
              </w:rPr>
              <w:t xml:space="preserve"> </w:t>
            </w:r>
          </w:p>
          <w:p w14:paraId="1D41DFD5" w14:textId="77777777" w:rsidR="00B62068" w:rsidRPr="009D03DC" w:rsidRDefault="00AB0CFF" w:rsidP="005377D6">
            <w:pPr>
              <w:pStyle w:val="OHHpara"/>
              <w:rPr>
                <w:sz w:val="20"/>
              </w:rPr>
            </w:pPr>
            <w:bookmarkStart w:id="31" w:name="lt_pId028"/>
            <w:r w:rsidRPr="009D03DC">
              <w:rPr>
                <w:sz w:val="20"/>
              </w:rPr>
              <w:t>Dans certaines circonstances, un autre taux peut remplacer le taux CORRA quotidien composé.</w:t>
            </w:r>
            <w:bookmarkEnd w:id="31"/>
          </w:p>
          <w:p w14:paraId="0334AFA5" w14:textId="77777777" w:rsidR="00B62068" w:rsidRPr="009D03DC" w:rsidRDefault="00AB0CFF" w:rsidP="00B62068">
            <w:pPr>
              <w:pStyle w:val="OHHpara"/>
              <w:rPr>
                <w:sz w:val="20"/>
              </w:rPr>
            </w:pPr>
            <w:bookmarkStart w:id="32" w:name="lt_pId029"/>
            <w:r w:rsidRPr="009D03DC">
              <w:rPr>
                <w:sz w:val="20"/>
              </w:rPr>
              <w:t>Voir «</w:t>
            </w:r>
            <w:r w:rsidR="00C861E9" w:rsidRPr="009D03DC">
              <w:rPr>
                <w:sz w:val="20"/>
              </w:rPr>
              <w:t> </w:t>
            </w:r>
            <w:r w:rsidR="001A39E4" w:rsidRPr="006A1ED5">
              <w:rPr>
                <w:sz w:val="20"/>
              </w:rPr>
              <w:t>Modifications relatives au taux de rechange applicable</w:t>
            </w:r>
            <w:r w:rsidR="006A1ED5">
              <w:rPr>
                <w:sz w:val="20"/>
              </w:rPr>
              <w:t xml:space="preserve"> </w:t>
            </w:r>
            <w:r w:rsidRPr="009D03DC">
              <w:rPr>
                <w:sz w:val="20"/>
              </w:rPr>
              <w:t>» ci-</w:t>
            </w:r>
            <w:r w:rsidR="00C861E9" w:rsidRPr="009D03DC">
              <w:rPr>
                <w:sz w:val="20"/>
              </w:rPr>
              <w:t>après</w:t>
            </w:r>
            <w:r w:rsidRPr="009D03DC">
              <w:rPr>
                <w:sz w:val="20"/>
              </w:rPr>
              <w:t>.</w:t>
            </w:r>
            <w:bookmarkEnd w:id="32"/>
            <w:r w:rsidRPr="009D03DC">
              <w:rPr>
                <w:sz w:val="20"/>
              </w:rPr>
              <w:t xml:space="preserve"> </w:t>
            </w:r>
          </w:p>
        </w:tc>
      </w:tr>
      <w:tr w:rsidR="00EB3F17" w14:paraId="673A7114" w14:textId="77777777" w:rsidTr="00224D8A">
        <w:tc>
          <w:tcPr>
            <w:tcW w:w="2425" w:type="dxa"/>
          </w:tcPr>
          <w:p w14:paraId="01A76CB6" w14:textId="77777777" w:rsidR="003E4FE0" w:rsidRPr="009D03DC" w:rsidRDefault="00AB0CFF" w:rsidP="002A3F27">
            <w:pPr>
              <w:pStyle w:val="OHHpara"/>
              <w:jc w:val="left"/>
              <w:rPr>
                <w:sz w:val="20"/>
              </w:rPr>
            </w:pPr>
            <w:bookmarkStart w:id="33" w:name="lt_pId030"/>
            <w:r w:rsidRPr="009D03DC">
              <w:rPr>
                <w:b/>
                <w:bCs/>
                <w:sz w:val="20"/>
              </w:rPr>
              <w:t>T</w:t>
            </w:r>
            <w:r w:rsidR="001930FE" w:rsidRPr="009D03DC">
              <w:rPr>
                <w:b/>
                <w:bCs/>
                <w:sz w:val="20"/>
              </w:rPr>
              <w:t xml:space="preserve">aux CORRA </w:t>
            </w:r>
            <w:r w:rsidRPr="009D03DC">
              <w:rPr>
                <w:b/>
                <w:bCs/>
                <w:sz w:val="20"/>
              </w:rPr>
              <w:t xml:space="preserve">quotidien </w:t>
            </w:r>
            <w:r w:rsidR="001930FE" w:rsidRPr="009D03DC">
              <w:rPr>
                <w:b/>
                <w:bCs/>
                <w:sz w:val="20"/>
              </w:rPr>
              <w:t>composé</w:t>
            </w:r>
            <w:bookmarkEnd w:id="33"/>
            <w:r w:rsidRPr="009D03DC">
              <w:rPr>
                <w:b/>
                <w:bCs/>
                <w:sz w:val="20"/>
              </w:rPr>
              <w:t> :</w:t>
            </w:r>
          </w:p>
        </w:tc>
        <w:tc>
          <w:tcPr>
            <w:tcW w:w="6925" w:type="dxa"/>
          </w:tcPr>
          <w:p w14:paraId="0F023931" w14:textId="77777777" w:rsidR="009F5A35" w:rsidRPr="009D03DC" w:rsidRDefault="00AB0CFF" w:rsidP="009F5A35">
            <w:pPr>
              <w:pStyle w:val="OHHpara"/>
              <w:rPr>
                <w:sz w:val="20"/>
              </w:rPr>
            </w:pPr>
            <w:bookmarkStart w:id="34" w:name="lt_pId031"/>
            <w:r w:rsidRPr="009D03DC">
              <w:rPr>
                <w:sz w:val="20"/>
              </w:rPr>
              <w:t>Pour une période d’observation, on calcule comme suit</w:t>
            </w:r>
            <w:r w:rsidR="0078597A">
              <w:rPr>
                <w:sz w:val="20"/>
              </w:rPr>
              <w:t xml:space="preserve"> le taux</w:t>
            </w:r>
            <w:r w:rsidRPr="009D03DC">
              <w:rPr>
                <w:sz w:val="20"/>
              </w:rPr>
              <w:t xml:space="preserve">, le pourcentage </w:t>
            </w:r>
            <w:r w:rsidR="0059150E" w:rsidRPr="009D03DC">
              <w:rPr>
                <w:sz w:val="20"/>
              </w:rPr>
              <w:t>obtenu</w:t>
            </w:r>
            <w:r w:rsidRPr="009D03DC">
              <w:rPr>
                <w:sz w:val="20"/>
              </w:rPr>
              <w:t xml:space="preserve"> étant arrondi si nécessaire à la cinquième décimale, 0,000005 </w:t>
            </w:r>
            <w:r w:rsidR="0059150E" w:rsidRPr="009D03DC">
              <w:rPr>
                <w:sz w:val="20"/>
              </w:rPr>
              <w:t>ayant été</w:t>
            </w:r>
            <w:r w:rsidRPr="009D03DC">
              <w:rPr>
                <w:sz w:val="20"/>
              </w:rPr>
              <w:t xml:space="preserve"> arrondi </w:t>
            </w:r>
            <w:r w:rsidR="0059150E" w:rsidRPr="009D03DC">
              <w:rPr>
                <w:sz w:val="20"/>
              </w:rPr>
              <w:t>à la valeur décimale supérieure </w:t>
            </w:r>
            <w:r w:rsidRPr="009D03DC">
              <w:rPr>
                <w:sz w:val="20"/>
              </w:rPr>
              <w:t>:</w:t>
            </w:r>
            <w:bookmarkEnd w:id="34"/>
          </w:p>
          <w:p w14:paraId="6358D3AF" w14:textId="77777777" w:rsidR="00E06FC5" w:rsidRPr="009D03DC" w:rsidRDefault="00AB0CFF" w:rsidP="007431D7">
            <w:pPr>
              <w:pStyle w:val="OHHpara"/>
              <w:rPr>
                <w:sz w:val="20"/>
              </w:rPr>
            </w:pPr>
            <w:bookmarkStart w:id="35" w:name="lt_pId032"/>
            <w:r w:rsidRPr="009D03DC">
              <w:rPr>
                <w:i/>
                <w:iCs/>
                <w:sz w:val="20"/>
              </w:rPr>
              <w:lastRenderedPageBreak/>
              <w:t>T</w:t>
            </w:r>
            <w:r w:rsidR="00037436" w:rsidRPr="009D03DC">
              <w:rPr>
                <w:i/>
                <w:iCs/>
                <w:sz w:val="20"/>
              </w:rPr>
              <w:t>aux CORRA</w:t>
            </w:r>
            <w:r w:rsidRPr="009D03DC">
              <w:rPr>
                <w:i/>
                <w:iCs/>
                <w:sz w:val="20"/>
              </w:rPr>
              <w:t xml:space="preserve"> quotidien</w:t>
            </w:r>
            <w:r w:rsidR="00037436" w:rsidRPr="009D03DC">
              <w:rPr>
                <w:i/>
                <w:iCs/>
                <w:sz w:val="20"/>
              </w:rPr>
              <w:t xml:space="preserve"> compos</w:t>
            </w:r>
            <w:r w:rsidRPr="009D03DC">
              <w:rPr>
                <w:i/>
                <w:iCs/>
                <w:sz w:val="20"/>
              </w:rPr>
              <w:t>é</w:t>
            </w:r>
            <w:r w:rsidR="0078597A">
              <w:rPr>
                <w:i/>
                <w:iCs/>
                <w:sz w:val="20"/>
              </w:rPr>
              <w:t xml:space="preserve"> </w:t>
            </w:r>
            <w:r w:rsidRPr="009D03DC">
              <w:rPr>
                <w:i/>
                <w:iCs/>
                <w:sz w:val="20"/>
              </w:rPr>
              <w:t>=</w:t>
            </w:r>
            <w:bookmarkEnd w:id="35"/>
            <w:r w:rsidR="00037436" w:rsidRPr="009D03DC">
              <w:rPr>
                <w:i/>
                <w:iCs/>
                <w:sz w:val="20"/>
              </w:rPr>
              <w:t xml:space="preserve"> </w:t>
            </w:r>
            <m:oMath>
              <m:d>
                <m:dPr>
                  <m:ctrlPr>
                    <w:rPr>
                      <w:rFonts w:ascii="Cambria Math" w:hAnsi="Cambria Math"/>
                      <w:i/>
                      <w:sz w:val="20"/>
                    </w:rPr>
                  </m:ctrlPr>
                </m:dPr>
                <m:e>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Indice du taux CORRA composé</m:t>
                          </m:r>
                        </m:e>
                        <m:sub>
                          <m:r>
                            <w:rPr>
                              <w:rFonts w:ascii="Cambria Math" w:hAnsi="Cambria Math"/>
                              <w:sz w:val="20"/>
                            </w:rPr>
                            <m:t>fin</m:t>
                          </m:r>
                        </m:sub>
                      </m:sSub>
                    </m:num>
                    <m:den>
                      <m:r>
                        <w:rPr>
                          <w:rFonts w:ascii="Cambria Math" w:hAnsi="Cambria Math"/>
                          <w:sz w:val="20"/>
                        </w:rPr>
                        <m:t xml:space="preserve"> </m:t>
                      </m:r>
                      <m:sSub>
                        <m:sSubPr>
                          <m:ctrlPr>
                            <w:rPr>
                              <w:rFonts w:ascii="Cambria Math" w:hAnsi="Cambria Math"/>
                              <w:i/>
                              <w:sz w:val="20"/>
                            </w:rPr>
                          </m:ctrlPr>
                        </m:sSubPr>
                        <m:e>
                          <m:r>
                            <w:rPr>
                              <w:rFonts w:ascii="Cambria Math" w:hAnsi="Cambria Math"/>
                              <w:sz w:val="20"/>
                            </w:rPr>
                            <m:t>Indice du taux CORRA composé</m:t>
                          </m:r>
                        </m:e>
                        <m:sub>
                          <m:r>
                            <w:rPr>
                              <w:rFonts w:ascii="Cambria Math" w:hAnsi="Cambria Math"/>
                              <w:sz w:val="20"/>
                            </w:rPr>
                            <m:t>début</m:t>
                          </m:r>
                        </m:sub>
                      </m:sSub>
                    </m:den>
                  </m:f>
                  <m:r>
                    <w:rPr>
                      <w:rFonts w:ascii="Cambria Math" w:hAnsi="Cambria Math"/>
                      <w:sz w:val="20"/>
                    </w:rPr>
                    <m:t>-1</m:t>
                  </m:r>
                </m:e>
              </m:d>
              <m:r>
                <w:rPr>
                  <w:rFonts w:ascii="Cambria Math" w:hAnsi="Cambria Math"/>
                  <w:sz w:val="20"/>
                </w:rPr>
                <m:t>×</m:t>
              </m:r>
              <m:d>
                <m:dPr>
                  <m:ctrlPr>
                    <w:rPr>
                      <w:rFonts w:ascii="Cambria Math" w:hAnsi="Cambria Math"/>
                      <w:i/>
                      <w:sz w:val="20"/>
                    </w:rPr>
                  </m:ctrlPr>
                </m:dPr>
                <m:e>
                  <m:f>
                    <m:fPr>
                      <m:ctrlPr>
                        <w:rPr>
                          <w:rFonts w:ascii="Cambria Math" w:hAnsi="Cambria Math"/>
                          <w:i/>
                          <w:sz w:val="20"/>
                        </w:rPr>
                      </m:ctrlPr>
                    </m:fPr>
                    <m:num>
                      <m:r>
                        <w:rPr>
                          <w:rFonts w:ascii="Cambria Math" w:hAnsi="Cambria Math"/>
                          <w:sz w:val="20"/>
                        </w:rPr>
                        <m:t>365</m:t>
                      </m:r>
                    </m:num>
                    <m:den>
                      <m:r>
                        <w:rPr>
                          <w:rFonts w:ascii="Cambria Math" w:hAnsi="Cambria Math"/>
                          <w:sz w:val="20"/>
                        </w:rPr>
                        <m:t>j</m:t>
                      </m:r>
                    </m:den>
                  </m:f>
                </m:e>
              </m:d>
            </m:oMath>
          </w:p>
          <w:p w14:paraId="61BDBF78" w14:textId="77777777" w:rsidR="009F5A35" w:rsidRPr="009D03DC" w:rsidRDefault="009F5A35" w:rsidP="00E06FC5">
            <w:pPr>
              <w:pStyle w:val="OHHpara"/>
              <w:spacing w:after="0"/>
              <w:rPr>
                <w:sz w:val="20"/>
              </w:rPr>
            </w:pPr>
          </w:p>
          <w:p w14:paraId="47674D7D" w14:textId="77777777" w:rsidR="00E06FC5" w:rsidRPr="009D03DC" w:rsidRDefault="00AB0CFF" w:rsidP="00E06FC5">
            <w:pPr>
              <w:pStyle w:val="OHHpara"/>
              <w:spacing w:after="0"/>
              <w:rPr>
                <w:sz w:val="20"/>
              </w:rPr>
            </w:pPr>
            <w:bookmarkStart w:id="36" w:name="lt_pId033"/>
            <w:r w:rsidRPr="009D03DC">
              <w:rPr>
                <w:sz w:val="20"/>
              </w:rPr>
              <w:t>où :</w:t>
            </w:r>
            <w:bookmarkEnd w:id="36"/>
          </w:p>
          <w:p w14:paraId="611487A7" w14:textId="77777777" w:rsidR="00E06FC5" w:rsidRPr="009D03DC" w:rsidRDefault="00AB0CFF" w:rsidP="00E06FC5">
            <w:pPr>
              <w:pStyle w:val="OHHpara"/>
              <w:numPr>
                <w:ilvl w:val="0"/>
                <w:numId w:val="16"/>
              </w:numPr>
              <w:spacing w:after="0"/>
              <w:rPr>
                <w:sz w:val="20"/>
              </w:rPr>
            </w:pPr>
            <w:bookmarkStart w:id="37" w:name="lt_pId034"/>
            <w:r w:rsidRPr="009D03DC">
              <w:rPr>
                <w:sz w:val="20"/>
              </w:rPr>
              <w:t>L’</w:t>
            </w:r>
            <w:r w:rsidR="00037436" w:rsidRPr="009D03DC">
              <w:rPr>
                <w:sz w:val="20"/>
              </w:rPr>
              <w:t>«</w:t>
            </w:r>
            <w:r w:rsidRPr="009D03DC">
              <w:rPr>
                <w:sz w:val="20"/>
              </w:rPr>
              <w:t xml:space="preserve"> indice du taux CORRA composé </w:t>
            </w:r>
            <w:r w:rsidRPr="009D03DC">
              <w:rPr>
                <w:sz w:val="20"/>
                <w:vertAlign w:val="subscript"/>
              </w:rPr>
              <w:t>début</w:t>
            </w:r>
            <w:r w:rsidR="00037436" w:rsidRPr="009D03DC">
              <w:rPr>
                <w:sz w:val="20"/>
              </w:rPr>
              <w:t xml:space="preserve"> » désigne la valeur de l’indice </w:t>
            </w:r>
            <w:r w:rsidRPr="009D03DC">
              <w:rPr>
                <w:sz w:val="20"/>
              </w:rPr>
              <w:t xml:space="preserve">du taux CORRA </w:t>
            </w:r>
            <w:r w:rsidR="00037436" w:rsidRPr="009D03DC">
              <w:rPr>
                <w:sz w:val="20"/>
              </w:rPr>
              <w:t>composé</w:t>
            </w:r>
            <w:r w:rsidRPr="009D03DC">
              <w:rPr>
                <w:sz w:val="20"/>
              </w:rPr>
              <w:t xml:space="preserve"> </w:t>
            </w:r>
            <w:r w:rsidR="00037436" w:rsidRPr="009D03DC">
              <w:rPr>
                <w:sz w:val="20"/>
              </w:rPr>
              <w:t xml:space="preserve">à la date qui tombe deux jours ouvrables </w:t>
            </w:r>
            <w:r w:rsidRPr="009D03DC">
              <w:rPr>
                <w:sz w:val="20"/>
              </w:rPr>
              <w:t>avant</w:t>
            </w:r>
            <w:r w:rsidR="00037436" w:rsidRPr="009D03DC">
              <w:rPr>
                <w:sz w:val="20"/>
              </w:rPr>
              <w:t xml:space="preserve"> la date </w:t>
            </w:r>
            <w:r w:rsidRPr="009D03DC">
              <w:rPr>
                <w:sz w:val="20"/>
              </w:rPr>
              <w:t xml:space="preserve">initiale </w:t>
            </w:r>
            <w:r w:rsidR="00037436" w:rsidRPr="009D03DC">
              <w:rPr>
                <w:sz w:val="20"/>
              </w:rPr>
              <w:t xml:space="preserve">de la période </w:t>
            </w:r>
            <w:r w:rsidRPr="009D03DC">
              <w:rPr>
                <w:sz w:val="20"/>
              </w:rPr>
              <w:t>pertinente de calcul des intérêts</w:t>
            </w:r>
            <w:r w:rsidR="00037436" w:rsidRPr="009D03DC">
              <w:rPr>
                <w:sz w:val="20"/>
              </w:rPr>
              <w:t>, telle qu</w:t>
            </w:r>
            <w:r w:rsidRPr="009D03DC">
              <w:rPr>
                <w:sz w:val="20"/>
              </w:rPr>
              <w:t xml:space="preserve">’elle </w:t>
            </w:r>
            <w:r w:rsidR="00037436" w:rsidRPr="009D03DC">
              <w:rPr>
                <w:sz w:val="20"/>
              </w:rPr>
              <w:t>e</w:t>
            </w:r>
            <w:r w:rsidRPr="009D03DC">
              <w:rPr>
                <w:sz w:val="20"/>
              </w:rPr>
              <w:t>st</w:t>
            </w:r>
            <w:r w:rsidR="00037436" w:rsidRPr="009D03DC">
              <w:rPr>
                <w:sz w:val="20"/>
              </w:rPr>
              <w:t xml:space="preserve"> publiée par la Banque du Canada, administrateur de ce taux, sur le site Web de la Banque du Canada</w:t>
            </w:r>
            <w:r w:rsidR="00662318" w:rsidRPr="009D03DC">
              <w:rPr>
                <w:sz w:val="20"/>
              </w:rPr>
              <w:t>,</w:t>
            </w:r>
            <w:r w:rsidR="00037436" w:rsidRPr="009D03DC">
              <w:rPr>
                <w:sz w:val="20"/>
              </w:rPr>
              <w:t xml:space="preserve"> ou </w:t>
            </w:r>
            <w:r w:rsidR="00662318" w:rsidRPr="009D03DC">
              <w:rPr>
                <w:sz w:val="20"/>
              </w:rPr>
              <w:t xml:space="preserve">par tout administrateur subséquent </w:t>
            </w:r>
            <w:r w:rsidRPr="009D03DC">
              <w:rPr>
                <w:sz w:val="20"/>
              </w:rPr>
              <w:t xml:space="preserve">sur </w:t>
            </w:r>
            <w:r w:rsidR="00662318" w:rsidRPr="009D03DC">
              <w:rPr>
                <w:sz w:val="20"/>
              </w:rPr>
              <w:t xml:space="preserve">son propre </w:t>
            </w:r>
            <w:r w:rsidRPr="009D03DC">
              <w:rPr>
                <w:sz w:val="20"/>
              </w:rPr>
              <w:t>site Web.</w:t>
            </w:r>
            <w:bookmarkEnd w:id="37"/>
          </w:p>
          <w:p w14:paraId="6BA50A4D" w14:textId="77777777" w:rsidR="00E06FC5" w:rsidRPr="009D03DC" w:rsidRDefault="00AB0CFF" w:rsidP="00E06FC5">
            <w:pPr>
              <w:pStyle w:val="OHHpara"/>
              <w:numPr>
                <w:ilvl w:val="0"/>
                <w:numId w:val="16"/>
              </w:numPr>
              <w:spacing w:after="0"/>
              <w:rPr>
                <w:sz w:val="20"/>
              </w:rPr>
            </w:pPr>
            <w:bookmarkStart w:id="38" w:name="lt_pId035"/>
            <w:r w:rsidRPr="009D03DC">
              <w:rPr>
                <w:sz w:val="20"/>
              </w:rPr>
              <w:t>L’</w:t>
            </w:r>
            <w:r w:rsidR="00037436" w:rsidRPr="009D03DC">
              <w:rPr>
                <w:sz w:val="20"/>
              </w:rPr>
              <w:t>«</w:t>
            </w:r>
            <w:r w:rsidRPr="009D03DC">
              <w:rPr>
                <w:sz w:val="20"/>
              </w:rPr>
              <w:t xml:space="preserve"> indice du taux CORRA composé </w:t>
            </w:r>
            <w:r w:rsidRPr="009D03DC">
              <w:rPr>
                <w:sz w:val="20"/>
                <w:vertAlign w:val="subscript"/>
              </w:rPr>
              <w:t xml:space="preserve">fin </w:t>
            </w:r>
            <w:r w:rsidR="00037436" w:rsidRPr="009D03DC">
              <w:rPr>
                <w:sz w:val="20"/>
              </w:rPr>
              <w:t xml:space="preserve">» désigne la valeur de l’indice </w:t>
            </w:r>
            <w:r w:rsidRPr="009D03DC">
              <w:rPr>
                <w:sz w:val="20"/>
              </w:rPr>
              <w:t xml:space="preserve">du taux </w:t>
            </w:r>
            <w:r w:rsidR="00037436" w:rsidRPr="009D03DC">
              <w:rPr>
                <w:sz w:val="20"/>
              </w:rPr>
              <w:t>CORRA</w:t>
            </w:r>
            <w:r w:rsidRPr="009D03DC">
              <w:rPr>
                <w:sz w:val="20"/>
              </w:rPr>
              <w:t xml:space="preserve"> composé </w:t>
            </w:r>
            <w:r w:rsidR="00037436" w:rsidRPr="009D03DC">
              <w:rPr>
                <w:sz w:val="20"/>
              </w:rPr>
              <w:t xml:space="preserve">à la date qui </w:t>
            </w:r>
            <w:r w:rsidRPr="009D03DC">
              <w:rPr>
                <w:sz w:val="20"/>
              </w:rPr>
              <w:t>tombe</w:t>
            </w:r>
            <w:r w:rsidR="00037436" w:rsidRPr="009D03DC">
              <w:rPr>
                <w:sz w:val="20"/>
              </w:rPr>
              <w:t xml:space="preserve"> deux jours ouvrables </w:t>
            </w:r>
            <w:r w:rsidRPr="009D03DC">
              <w:rPr>
                <w:sz w:val="20"/>
              </w:rPr>
              <w:t xml:space="preserve">avant </w:t>
            </w:r>
            <w:r w:rsidR="00037436" w:rsidRPr="009D03DC">
              <w:rPr>
                <w:sz w:val="20"/>
              </w:rPr>
              <w:t xml:space="preserve">la date de paiement des intérêts </w:t>
            </w:r>
            <w:r w:rsidRPr="009D03DC">
              <w:rPr>
                <w:sz w:val="20"/>
              </w:rPr>
              <w:t>dus pour</w:t>
            </w:r>
            <w:r w:rsidR="00037436" w:rsidRPr="009D03DC">
              <w:rPr>
                <w:sz w:val="20"/>
              </w:rPr>
              <w:t xml:space="preserve"> la période </w:t>
            </w:r>
            <w:r w:rsidRPr="009D03DC">
              <w:rPr>
                <w:sz w:val="20"/>
              </w:rPr>
              <w:t xml:space="preserve">pertinente de calcul des </w:t>
            </w:r>
            <w:r w:rsidR="00037436" w:rsidRPr="009D03DC">
              <w:rPr>
                <w:sz w:val="20"/>
              </w:rPr>
              <w:t>intérêt</w:t>
            </w:r>
            <w:r w:rsidRPr="009D03DC">
              <w:rPr>
                <w:sz w:val="20"/>
              </w:rPr>
              <w:t>s</w:t>
            </w:r>
            <w:r w:rsidR="00037436" w:rsidRPr="009D03DC">
              <w:rPr>
                <w:sz w:val="20"/>
              </w:rPr>
              <w:t xml:space="preserve"> (ou</w:t>
            </w:r>
            <w:r w:rsidR="00662318" w:rsidRPr="009D03DC">
              <w:rPr>
                <w:sz w:val="20"/>
              </w:rPr>
              <w:t xml:space="preserve"> la date d’échéance s’il s’agit de la dernière </w:t>
            </w:r>
            <w:r w:rsidR="00037436" w:rsidRPr="009D03DC">
              <w:rPr>
                <w:sz w:val="20"/>
              </w:rPr>
              <w:t xml:space="preserve">période </w:t>
            </w:r>
            <w:r w:rsidR="00662318" w:rsidRPr="009D03DC">
              <w:rPr>
                <w:sz w:val="20"/>
              </w:rPr>
              <w:t>de calcul des intérêts</w:t>
            </w:r>
            <w:r w:rsidR="00037436" w:rsidRPr="009D03DC">
              <w:rPr>
                <w:sz w:val="20"/>
              </w:rPr>
              <w:t xml:space="preserve">), </w:t>
            </w:r>
            <w:r w:rsidR="00662318" w:rsidRPr="009D03DC">
              <w:rPr>
                <w:sz w:val="20"/>
              </w:rPr>
              <w:t>telle qu’elle est publiée par la Banque du Canada, administrateur de ce taux, sur le site Web de la Banque du Canada, ou par tout administrateur subséquent sur son propre site Web.</w:t>
            </w:r>
            <w:bookmarkEnd w:id="38"/>
          </w:p>
          <w:p w14:paraId="358916BF" w14:textId="77777777" w:rsidR="00203EA5" w:rsidRPr="009D03DC" w:rsidRDefault="00AB0CFF" w:rsidP="00E06FC5">
            <w:pPr>
              <w:pStyle w:val="OHHpara"/>
              <w:numPr>
                <w:ilvl w:val="0"/>
                <w:numId w:val="16"/>
              </w:numPr>
              <w:rPr>
                <w:sz w:val="20"/>
              </w:rPr>
            </w:pPr>
            <w:bookmarkStart w:id="39" w:name="lt_pId036"/>
            <w:r w:rsidRPr="009D03DC">
              <w:rPr>
                <w:sz w:val="20"/>
              </w:rPr>
              <w:t>La lettre « j »</w:t>
            </w:r>
            <w:r w:rsidR="00037436" w:rsidRPr="009D03DC">
              <w:rPr>
                <w:sz w:val="20"/>
              </w:rPr>
              <w:t xml:space="preserve"> </w:t>
            </w:r>
            <w:r w:rsidRPr="009D03DC">
              <w:rPr>
                <w:sz w:val="20"/>
              </w:rPr>
              <w:t xml:space="preserve">désigne le </w:t>
            </w:r>
            <w:r w:rsidR="00037436" w:rsidRPr="009D03DC">
              <w:rPr>
                <w:sz w:val="20"/>
              </w:rPr>
              <w:t xml:space="preserve">nombre de jours civils compris dans la période </w:t>
            </w:r>
            <w:r w:rsidRPr="009D03DC">
              <w:rPr>
                <w:sz w:val="20"/>
              </w:rPr>
              <w:t xml:space="preserve">pertinente </w:t>
            </w:r>
            <w:r w:rsidR="00037436" w:rsidRPr="009D03DC">
              <w:rPr>
                <w:sz w:val="20"/>
              </w:rPr>
              <w:t>de calcul</w:t>
            </w:r>
            <w:bookmarkEnd w:id="39"/>
            <w:r w:rsidRPr="009D03DC">
              <w:rPr>
                <w:sz w:val="20"/>
              </w:rPr>
              <w:t xml:space="preserve"> des intérêts.</w:t>
            </w:r>
          </w:p>
        </w:tc>
      </w:tr>
      <w:tr w:rsidR="00EB3F17" w14:paraId="75D32F1A" w14:textId="77777777" w:rsidTr="00224D8A">
        <w:tc>
          <w:tcPr>
            <w:tcW w:w="2425" w:type="dxa"/>
          </w:tcPr>
          <w:p w14:paraId="48110859" w14:textId="77777777" w:rsidR="00203EA5" w:rsidRPr="009D03DC" w:rsidRDefault="00AB0CFF" w:rsidP="002A3F27">
            <w:pPr>
              <w:pStyle w:val="OHHpara"/>
              <w:jc w:val="left"/>
              <w:rPr>
                <w:sz w:val="20"/>
              </w:rPr>
            </w:pPr>
            <w:bookmarkStart w:id="40" w:name="lt_pId037"/>
            <w:r w:rsidRPr="009D03DC">
              <w:rPr>
                <w:b/>
                <w:bCs/>
                <w:sz w:val="20"/>
              </w:rPr>
              <w:lastRenderedPageBreak/>
              <w:t>Période de calcul des intérêts</w:t>
            </w:r>
            <w:bookmarkEnd w:id="40"/>
            <w:r w:rsidRPr="009D03DC">
              <w:rPr>
                <w:b/>
                <w:bCs/>
                <w:sz w:val="20"/>
              </w:rPr>
              <w:t> :</w:t>
            </w:r>
          </w:p>
        </w:tc>
        <w:tc>
          <w:tcPr>
            <w:tcW w:w="6925" w:type="dxa"/>
          </w:tcPr>
          <w:p w14:paraId="507A1061" w14:textId="77777777" w:rsidR="00203EA5" w:rsidRPr="009D03DC" w:rsidRDefault="00AB0CFF" w:rsidP="00203EA5">
            <w:pPr>
              <w:pStyle w:val="OHHpara"/>
              <w:rPr>
                <w:sz w:val="20"/>
              </w:rPr>
            </w:pPr>
            <w:bookmarkStart w:id="41" w:name="lt_pId038"/>
            <w:r w:rsidRPr="009D03DC">
              <w:rPr>
                <w:sz w:val="20"/>
              </w:rPr>
              <w:t>Période fixée sur une base trimestrielle débutant à la date de paiement des intérêts (ou à la date de règlement s’il s’agit de la première période de calcul des intérêts), inclu</w:t>
            </w:r>
            <w:r w:rsidR="000207B2">
              <w:rPr>
                <w:sz w:val="20"/>
              </w:rPr>
              <w:t>a</w:t>
            </w:r>
            <w:r w:rsidR="000207B2" w:rsidRPr="006A1ED5">
              <w:rPr>
                <w:sz w:val="20"/>
                <w:szCs w:val="16"/>
              </w:rPr>
              <w:t>nt cette date</w:t>
            </w:r>
            <w:r w:rsidR="000A6F3A" w:rsidRPr="009D03DC">
              <w:rPr>
                <w:sz w:val="20"/>
              </w:rPr>
              <w:t>,</w:t>
            </w:r>
            <w:r w:rsidRPr="009D03DC">
              <w:rPr>
                <w:sz w:val="20"/>
              </w:rPr>
              <w:t xml:space="preserve"> et se terminant à la date de paiement des intérêts suivante (ou à la date d’échéance s’il s’agit de la dernière période de calcul des intérêts), exclu</w:t>
            </w:r>
            <w:r w:rsidR="000207B2">
              <w:rPr>
                <w:sz w:val="20"/>
              </w:rPr>
              <w:t>ant cette date</w:t>
            </w:r>
            <w:r w:rsidR="00ED2E69" w:rsidRPr="009D03DC">
              <w:rPr>
                <w:sz w:val="20"/>
              </w:rPr>
              <w:t>.</w:t>
            </w:r>
            <w:bookmarkEnd w:id="41"/>
          </w:p>
        </w:tc>
      </w:tr>
      <w:tr w:rsidR="00EB3F17" w14:paraId="7DE7201D" w14:textId="77777777" w:rsidTr="00224D8A">
        <w:tc>
          <w:tcPr>
            <w:tcW w:w="2425" w:type="dxa"/>
          </w:tcPr>
          <w:p w14:paraId="41C2FECB" w14:textId="77777777" w:rsidR="00E46E97" w:rsidRPr="009D03DC" w:rsidRDefault="00AB0CFF" w:rsidP="00E46E97">
            <w:pPr>
              <w:pStyle w:val="OHHpara"/>
              <w:jc w:val="left"/>
              <w:rPr>
                <w:b/>
                <w:bCs/>
                <w:sz w:val="20"/>
              </w:rPr>
            </w:pPr>
            <w:bookmarkStart w:id="42" w:name="lt_pId039"/>
            <w:r w:rsidRPr="009D03DC">
              <w:rPr>
                <w:b/>
                <w:bCs/>
                <w:sz w:val="20"/>
              </w:rPr>
              <w:t>Période d’observation</w:t>
            </w:r>
            <w:bookmarkEnd w:id="42"/>
            <w:r w:rsidRPr="009D03DC">
              <w:rPr>
                <w:b/>
                <w:bCs/>
                <w:sz w:val="20"/>
              </w:rPr>
              <w:t> :</w:t>
            </w:r>
          </w:p>
        </w:tc>
        <w:tc>
          <w:tcPr>
            <w:tcW w:w="6925" w:type="dxa"/>
          </w:tcPr>
          <w:p w14:paraId="70B57F72" w14:textId="77777777" w:rsidR="00E46E97" w:rsidRPr="009D03DC" w:rsidRDefault="00AB0CFF" w:rsidP="00E46E97">
            <w:pPr>
              <w:pStyle w:val="OHHpara"/>
              <w:rPr>
                <w:sz w:val="20"/>
              </w:rPr>
            </w:pPr>
            <w:bookmarkStart w:id="43" w:name="lt_pId040"/>
            <w:r w:rsidRPr="009D03DC">
              <w:rPr>
                <w:sz w:val="20"/>
              </w:rPr>
              <w:t>Pour chaque période de calcul des intérêts, période qui débute à la date correspondant à deux jours ouvrable avant la première journée d’une période de calcul des intérêts</w:t>
            </w:r>
            <w:r w:rsidR="000207B2">
              <w:rPr>
                <w:sz w:val="20"/>
              </w:rPr>
              <w:t>,</w:t>
            </w:r>
            <w:r w:rsidRPr="009D03DC">
              <w:rPr>
                <w:sz w:val="20"/>
              </w:rPr>
              <w:t xml:space="preserve"> inclu</w:t>
            </w:r>
            <w:r w:rsidR="000207B2">
              <w:rPr>
                <w:sz w:val="20"/>
              </w:rPr>
              <w:t>a</w:t>
            </w:r>
            <w:r w:rsidRPr="009D03DC">
              <w:rPr>
                <w:sz w:val="20"/>
              </w:rPr>
              <w:t>nt</w:t>
            </w:r>
            <w:r w:rsidR="000207B2">
              <w:rPr>
                <w:sz w:val="20"/>
              </w:rPr>
              <w:t xml:space="preserve"> cette date,</w:t>
            </w:r>
            <w:r w:rsidRPr="009D03DC">
              <w:rPr>
                <w:sz w:val="20"/>
              </w:rPr>
              <w:t xml:space="preserve"> et qui se termine à la date correspondant à deux jours ouvrables avant la date de paiement des intérêts</w:t>
            </w:r>
            <w:r w:rsidR="000207B2">
              <w:rPr>
                <w:sz w:val="20"/>
              </w:rPr>
              <w:t>, excluant cette date</w:t>
            </w:r>
            <w:r w:rsidRPr="009D03DC">
              <w:rPr>
                <w:sz w:val="20"/>
              </w:rPr>
              <w:t>.</w:t>
            </w:r>
            <w:bookmarkEnd w:id="43"/>
          </w:p>
        </w:tc>
      </w:tr>
      <w:tr w:rsidR="00EB3F17" w14:paraId="4BAF3440" w14:textId="77777777" w:rsidTr="00224D8A">
        <w:tc>
          <w:tcPr>
            <w:tcW w:w="2425" w:type="dxa"/>
          </w:tcPr>
          <w:p w14:paraId="26C7E15D" w14:textId="77777777" w:rsidR="003E4FE0" w:rsidRPr="009D03DC" w:rsidRDefault="00AB0CFF" w:rsidP="003E4FE0">
            <w:pPr>
              <w:pStyle w:val="OHHpara"/>
              <w:jc w:val="left"/>
              <w:rPr>
                <w:b/>
                <w:bCs/>
                <w:sz w:val="20"/>
              </w:rPr>
            </w:pPr>
            <w:bookmarkStart w:id="44" w:name="lt_pId041"/>
            <w:r w:rsidRPr="009D03DC">
              <w:rPr>
                <w:b/>
                <w:bCs/>
                <w:sz w:val="20"/>
              </w:rPr>
              <w:t>Dates de paiement des intérêts :</w:t>
            </w:r>
            <w:bookmarkEnd w:id="44"/>
          </w:p>
        </w:tc>
        <w:tc>
          <w:tcPr>
            <w:tcW w:w="6925" w:type="dxa"/>
          </w:tcPr>
          <w:p w14:paraId="5D1D64C1" w14:textId="77777777" w:rsidR="003E4FE0" w:rsidRPr="009D03DC" w:rsidRDefault="00AB0CFF" w:rsidP="003E4FE0">
            <w:pPr>
              <w:pStyle w:val="OHHpara"/>
              <w:rPr>
                <w:sz w:val="20"/>
              </w:rPr>
            </w:pPr>
            <w:bookmarkStart w:id="45" w:name="lt_pId042"/>
            <w:r w:rsidRPr="009D03DC">
              <w:rPr>
                <w:sz w:val="20"/>
              </w:rPr>
              <w:t xml:space="preserve">Dates du </w:t>
            </w:r>
            <w:r w:rsidRPr="009D03DC">
              <w:rPr>
                <w:rStyle w:val="Prompt"/>
                <w:rFonts w:ascii="Wingdings" w:hAnsi="Wingdings"/>
                <w:sz w:val="20"/>
              </w:rPr>
              <w:sym w:font="Wingdings" w:char="F06C"/>
            </w:r>
            <w:r w:rsidRPr="009D03DC">
              <w:rPr>
                <w:sz w:val="20"/>
              </w:rPr>
              <w:t xml:space="preserve"> mars, </w:t>
            </w:r>
            <w:r w:rsidRPr="009D03DC">
              <w:rPr>
                <w:rStyle w:val="Prompt"/>
                <w:rFonts w:ascii="Wingdings" w:hAnsi="Wingdings"/>
                <w:sz w:val="20"/>
              </w:rPr>
              <w:sym w:font="Wingdings" w:char="F06C"/>
            </w:r>
            <w:r w:rsidRPr="009D03DC">
              <w:rPr>
                <w:sz w:val="20"/>
              </w:rPr>
              <w:t xml:space="preserve"> juin, </w:t>
            </w:r>
            <w:r w:rsidRPr="009D03DC">
              <w:rPr>
                <w:rStyle w:val="Prompt"/>
                <w:rFonts w:ascii="Wingdings" w:hAnsi="Wingdings"/>
                <w:sz w:val="20"/>
              </w:rPr>
              <w:sym w:font="Wingdings" w:char="F06C"/>
            </w:r>
            <w:r w:rsidRPr="009D03DC">
              <w:rPr>
                <w:sz w:val="20"/>
              </w:rPr>
              <w:t xml:space="preserve"> septembre et </w:t>
            </w:r>
            <w:r w:rsidRPr="009D03DC">
              <w:rPr>
                <w:rStyle w:val="Prompt"/>
                <w:rFonts w:ascii="Wingdings" w:hAnsi="Wingdings"/>
                <w:sz w:val="20"/>
              </w:rPr>
              <w:sym w:font="Wingdings" w:char="F06C"/>
            </w:r>
            <w:r w:rsidRPr="009D03DC">
              <w:rPr>
                <w:sz w:val="20"/>
              </w:rPr>
              <w:t xml:space="preserve"> décembre </w:t>
            </w:r>
            <w:r w:rsidR="00B10060" w:rsidRPr="009D03DC">
              <w:rPr>
                <w:sz w:val="20"/>
              </w:rPr>
              <w:t>de chaque année commençant le</w:t>
            </w:r>
            <w:r w:rsidRPr="009D03DC">
              <w:rPr>
                <w:sz w:val="20"/>
              </w:rPr>
              <w:t xml:space="preserve"> </w:t>
            </w:r>
            <w:r w:rsidRPr="009D03DC">
              <w:rPr>
                <w:rStyle w:val="Prompt"/>
                <w:rFonts w:ascii="Wingdings" w:hAnsi="Wingdings"/>
                <w:sz w:val="20"/>
              </w:rPr>
              <w:sym w:font="Wingdings" w:char="F06C"/>
            </w:r>
            <w:r w:rsidR="00B10060" w:rsidRPr="009D03DC">
              <w:rPr>
                <w:sz w:val="20"/>
              </w:rPr>
              <w:t> </w:t>
            </w:r>
            <w:r w:rsidRPr="009D03DC">
              <w:rPr>
                <w:sz w:val="20"/>
              </w:rPr>
              <w:t>2022</w:t>
            </w:r>
            <w:r w:rsidR="00B10060" w:rsidRPr="009D03DC">
              <w:rPr>
                <w:sz w:val="20"/>
              </w:rPr>
              <w:t>, à condition que, dans chaque cas, si cette date n’est pas un jour ouvrable (</w:t>
            </w:r>
            <w:r w:rsidRPr="009D03DC">
              <w:rPr>
                <w:sz w:val="20"/>
              </w:rPr>
              <w:t>«</w:t>
            </w:r>
            <w:r w:rsidR="00F42D85" w:rsidRPr="009D03DC">
              <w:rPr>
                <w:sz w:val="20"/>
              </w:rPr>
              <w:t> </w:t>
            </w:r>
            <w:r w:rsidR="00B10060" w:rsidRPr="009D03DC">
              <w:rPr>
                <w:sz w:val="20"/>
              </w:rPr>
              <w:t>j</w:t>
            </w:r>
            <w:r w:rsidRPr="009D03DC">
              <w:rPr>
                <w:sz w:val="20"/>
              </w:rPr>
              <w:t>our ouvrable</w:t>
            </w:r>
            <w:r w:rsidR="00F42D85" w:rsidRPr="009D03DC">
              <w:rPr>
                <w:sz w:val="20"/>
              </w:rPr>
              <w:t> </w:t>
            </w:r>
            <w:r w:rsidRPr="009D03DC">
              <w:rPr>
                <w:sz w:val="20"/>
              </w:rPr>
              <w:t xml:space="preserve">» </w:t>
            </w:r>
            <w:r w:rsidR="00B10060" w:rsidRPr="009D03DC">
              <w:rPr>
                <w:sz w:val="20"/>
              </w:rPr>
              <w:t xml:space="preserve">signifie </w:t>
            </w:r>
            <w:r w:rsidR="00B10060" w:rsidRPr="009D03DC">
              <w:rPr>
                <w:b/>
                <w:sz w:val="20"/>
              </w:rPr>
              <w:t>[tout jour autre que le samedi, le dimanche et tout jour férié à Toronto (Ontario)] [</w:t>
            </w:r>
            <w:r w:rsidR="00187BF0" w:rsidRPr="009D03DC">
              <w:rPr>
                <w:b/>
                <w:sz w:val="20"/>
              </w:rPr>
              <w:t>REMARQUE </w:t>
            </w:r>
            <w:r w:rsidR="00B10060" w:rsidRPr="009D03DC">
              <w:rPr>
                <w:b/>
                <w:sz w:val="20"/>
              </w:rPr>
              <w:t>: Modifier la définition de l’expression «</w:t>
            </w:r>
            <w:r w:rsidR="00F42D85" w:rsidRPr="009D03DC">
              <w:rPr>
                <w:b/>
                <w:sz w:val="20"/>
              </w:rPr>
              <w:t> </w:t>
            </w:r>
            <w:r w:rsidR="00B10060" w:rsidRPr="009D03DC">
              <w:rPr>
                <w:b/>
                <w:sz w:val="20"/>
              </w:rPr>
              <w:t>jour ouvrable</w:t>
            </w:r>
            <w:r w:rsidR="00F42D85" w:rsidRPr="009D03DC">
              <w:rPr>
                <w:b/>
                <w:sz w:val="20"/>
              </w:rPr>
              <w:t> </w:t>
            </w:r>
            <w:r w:rsidR="00B10060" w:rsidRPr="009D03DC">
              <w:rPr>
                <w:b/>
                <w:sz w:val="20"/>
              </w:rPr>
              <w:t>» pour qu’elle corresponde à la documentation applicable]</w:t>
            </w:r>
            <w:r w:rsidR="00B10060" w:rsidRPr="009D03DC">
              <w:rPr>
                <w:sz w:val="20"/>
              </w:rPr>
              <w:t>)</w:t>
            </w:r>
            <w:r w:rsidRPr="009D03DC">
              <w:rPr>
                <w:sz w:val="20"/>
              </w:rPr>
              <w:t xml:space="preserve">, </w:t>
            </w:r>
            <w:r w:rsidR="00037436" w:rsidRPr="009D03DC">
              <w:rPr>
                <w:sz w:val="20"/>
              </w:rPr>
              <w:t xml:space="preserve">la date de paiement des intérêts pertinente </w:t>
            </w:r>
            <w:r w:rsidR="00F42D85" w:rsidRPr="009D03DC">
              <w:rPr>
                <w:sz w:val="20"/>
              </w:rPr>
              <w:t>est reportée au prochain</w:t>
            </w:r>
            <w:r w:rsidR="00037436" w:rsidRPr="009D03DC">
              <w:rPr>
                <w:sz w:val="20"/>
              </w:rPr>
              <w:t xml:space="preserve"> jour ouvrable, à moins que ce jour ne tombe le mois civil suivant, auquel cas la date de paiement des intérêts applicable est </w:t>
            </w:r>
            <w:r w:rsidR="00F42D85" w:rsidRPr="009D03DC">
              <w:rPr>
                <w:sz w:val="20"/>
              </w:rPr>
              <w:t>devancée au</w:t>
            </w:r>
            <w:r w:rsidR="00037436" w:rsidRPr="009D03DC">
              <w:rPr>
                <w:sz w:val="20"/>
              </w:rPr>
              <w:t xml:space="preserve"> jour ouvrable précédent.</w:t>
            </w:r>
            <w:bookmarkEnd w:id="45"/>
          </w:p>
        </w:tc>
      </w:tr>
      <w:tr w:rsidR="00EB3F17" w14:paraId="769D5489" w14:textId="77777777" w:rsidTr="00224D8A">
        <w:tc>
          <w:tcPr>
            <w:tcW w:w="2425" w:type="dxa"/>
          </w:tcPr>
          <w:p w14:paraId="1B7469EC" w14:textId="77777777" w:rsidR="006F55EE" w:rsidRPr="009D03DC" w:rsidRDefault="00AB0CFF" w:rsidP="003E4FE0">
            <w:pPr>
              <w:pStyle w:val="OHHpara"/>
              <w:jc w:val="left"/>
              <w:rPr>
                <w:sz w:val="20"/>
              </w:rPr>
            </w:pPr>
            <w:bookmarkStart w:id="46" w:name="lt_pId043"/>
            <w:r w:rsidRPr="009D03DC">
              <w:rPr>
                <w:b/>
                <w:bCs/>
                <w:sz w:val="20"/>
              </w:rPr>
              <w:t>Date de détermination des intérêts :</w:t>
            </w:r>
            <w:bookmarkEnd w:id="46"/>
          </w:p>
        </w:tc>
        <w:tc>
          <w:tcPr>
            <w:tcW w:w="6925" w:type="dxa"/>
          </w:tcPr>
          <w:p w14:paraId="5C104113" w14:textId="77777777" w:rsidR="006F55EE" w:rsidRPr="009D03DC" w:rsidRDefault="00AB0CFF" w:rsidP="003E4FE0">
            <w:pPr>
              <w:pStyle w:val="OHHpara"/>
              <w:rPr>
                <w:sz w:val="20"/>
              </w:rPr>
            </w:pPr>
            <w:bookmarkStart w:id="47" w:name="lt_pId044"/>
            <w:r w:rsidRPr="009D03DC">
              <w:rPr>
                <w:sz w:val="20"/>
              </w:rPr>
              <w:t>Pour chaque période de calcul des intérêts,</w:t>
            </w:r>
            <w:r w:rsidR="00166351" w:rsidRPr="009D03DC">
              <w:rPr>
                <w:sz w:val="20"/>
              </w:rPr>
              <w:t xml:space="preserve"> date</w:t>
            </w:r>
            <w:r w:rsidRPr="009D03DC">
              <w:rPr>
                <w:sz w:val="20"/>
              </w:rPr>
              <w:t xml:space="preserve"> tombant deux jours ouvrables avant </w:t>
            </w:r>
            <w:r w:rsidR="000207B2">
              <w:rPr>
                <w:sz w:val="20"/>
              </w:rPr>
              <w:t>une</w:t>
            </w:r>
            <w:r w:rsidR="000207B2" w:rsidRPr="009D03DC">
              <w:rPr>
                <w:sz w:val="20"/>
              </w:rPr>
              <w:t xml:space="preserve"> </w:t>
            </w:r>
            <w:r w:rsidRPr="009D03DC">
              <w:rPr>
                <w:sz w:val="20"/>
              </w:rPr>
              <w:t>date de paiement des intérêts</w:t>
            </w:r>
            <w:r w:rsidR="00166351" w:rsidRPr="009D03DC">
              <w:rPr>
                <w:sz w:val="20"/>
              </w:rPr>
              <w:t>.</w:t>
            </w:r>
            <w:bookmarkEnd w:id="47"/>
          </w:p>
        </w:tc>
      </w:tr>
      <w:tr w:rsidR="00EB3F17" w14:paraId="02400709" w14:textId="77777777" w:rsidTr="00224D8A">
        <w:tc>
          <w:tcPr>
            <w:tcW w:w="2425" w:type="dxa"/>
          </w:tcPr>
          <w:p w14:paraId="0CC0F56C" w14:textId="77777777" w:rsidR="003E4FE0" w:rsidRPr="009D03DC" w:rsidRDefault="00AB0CFF" w:rsidP="003E4FE0">
            <w:pPr>
              <w:pStyle w:val="OHHpara"/>
              <w:rPr>
                <w:b/>
                <w:bCs/>
                <w:sz w:val="20"/>
              </w:rPr>
            </w:pPr>
            <w:bookmarkStart w:id="48" w:name="lt_pId045"/>
            <w:r w:rsidRPr="009D03DC">
              <w:rPr>
                <w:b/>
                <w:bCs/>
                <w:sz w:val="20"/>
              </w:rPr>
              <w:t>Convention</w:t>
            </w:r>
            <w:r w:rsidR="009D7D11" w:rsidRPr="009D03DC">
              <w:rPr>
                <w:b/>
                <w:bCs/>
                <w:sz w:val="20"/>
              </w:rPr>
              <w:t xml:space="preserve"> de calcul du nombre de jours</w:t>
            </w:r>
            <w:bookmarkEnd w:id="48"/>
          </w:p>
        </w:tc>
        <w:tc>
          <w:tcPr>
            <w:tcW w:w="6925" w:type="dxa"/>
          </w:tcPr>
          <w:p w14:paraId="6193E834" w14:textId="77777777" w:rsidR="003E4FE0" w:rsidRPr="009D03DC" w:rsidRDefault="00AB0CFF" w:rsidP="003E4FE0">
            <w:pPr>
              <w:pStyle w:val="OHHpara"/>
              <w:rPr>
                <w:sz w:val="20"/>
              </w:rPr>
            </w:pPr>
            <w:bookmarkStart w:id="49" w:name="lt_pId046"/>
            <w:r>
              <w:rPr>
                <w:sz w:val="20"/>
              </w:rPr>
              <w:t>Nombre r</w:t>
            </w:r>
            <w:r w:rsidR="00037436" w:rsidRPr="009D03DC">
              <w:rPr>
                <w:sz w:val="20"/>
              </w:rPr>
              <w:t>éel</w:t>
            </w:r>
            <w:r>
              <w:rPr>
                <w:sz w:val="20"/>
              </w:rPr>
              <w:t xml:space="preserve"> de jours</w:t>
            </w:r>
            <w:r w:rsidR="00037436" w:rsidRPr="009D03DC">
              <w:rPr>
                <w:sz w:val="20"/>
              </w:rPr>
              <w:t>/365</w:t>
            </w:r>
            <w:bookmarkEnd w:id="49"/>
          </w:p>
        </w:tc>
      </w:tr>
      <w:tr w:rsidR="00EB3F17" w14:paraId="3A220181" w14:textId="77777777" w:rsidTr="00224D8A">
        <w:tc>
          <w:tcPr>
            <w:tcW w:w="2425" w:type="dxa"/>
          </w:tcPr>
          <w:p w14:paraId="6D5A8636" w14:textId="77777777" w:rsidR="003E4FE0" w:rsidRPr="009D03DC" w:rsidRDefault="00AB0CFF" w:rsidP="003E4FE0">
            <w:pPr>
              <w:pStyle w:val="OHHpara"/>
              <w:rPr>
                <w:b/>
                <w:bCs/>
                <w:sz w:val="20"/>
              </w:rPr>
            </w:pPr>
            <w:bookmarkStart w:id="50" w:name="lt_pId047"/>
            <w:r w:rsidRPr="009D03DC">
              <w:rPr>
                <w:b/>
                <w:bCs/>
                <w:sz w:val="20"/>
              </w:rPr>
              <w:t>Remboursement </w:t>
            </w:r>
            <w:r w:rsidR="00037436" w:rsidRPr="009D03DC">
              <w:rPr>
                <w:b/>
                <w:bCs/>
                <w:sz w:val="20"/>
              </w:rPr>
              <w:t>:</w:t>
            </w:r>
            <w:bookmarkEnd w:id="50"/>
          </w:p>
        </w:tc>
        <w:tc>
          <w:tcPr>
            <w:tcW w:w="6925" w:type="dxa"/>
          </w:tcPr>
          <w:p w14:paraId="44DBAA53" w14:textId="77777777" w:rsidR="003E4FE0" w:rsidRPr="009D03DC" w:rsidRDefault="00AB0CFF" w:rsidP="003E4FE0">
            <w:pPr>
              <w:pStyle w:val="OHHpara"/>
              <w:rPr>
                <w:sz w:val="20"/>
              </w:rPr>
            </w:pPr>
            <w:bookmarkStart w:id="51" w:name="lt_pId048"/>
            <w:r w:rsidRPr="009D03DC">
              <w:rPr>
                <w:sz w:val="20"/>
              </w:rPr>
              <w:t xml:space="preserve">Les </w:t>
            </w:r>
            <w:r w:rsidR="00D5168B" w:rsidRPr="009D03DC">
              <w:rPr>
                <w:sz w:val="20"/>
              </w:rPr>
              <w:t xml:space="preserve">Obligations </w:t>
            </w:r>
            <w:r w:rsidRPr="009D03DC">
              <w:rPr>
                <w:sz w:val="20"/>
              </w:rPr>
              <w:t xml:space="preserve">ne sont pas </w:t>
            </w:r>
            <w:r w:rsidR="00D5168B" w:rsidRPr="009D03DC">
              <w:rPr>
                <w:sz w:val="20"/>
              </w:rPr>
              <w:t>remboursables</w:t>
            </w:r>
            <w:r w:rsidRPr="009D03DC">
              <w:rPr>
                <w:sz w:val="20"/>
              </w:rPr>
              <w:t xml:space="preserve"> avant leur échéance.</w:t>
            </w:r>
            <w:bookmarkEnd w:id="51"/>
            <w:r w:rsidRPr="009D03DC">
              <w:rPr>
                <w:sz w:val="20"/>
              </w:rPr>
              <w:t xml:space="preserve"> </w:t>
            </w:r>
            <w:bookmarkStart w:id="52" w:name="lt_pId049"/>
            <w:r w:rsidRPr="009D03DC">
              <w:rPr>
                <w:b/>
                <w:bCs/>
                <w:sz w:val="20"/>
              </w:rPr>
              <w:t>[</w:t>
            </w:r>
            <w:r w:rsidR="00D5168B" w:rsidRPr="009D03DC">
              <w:rPr>
                <w:b/>
                <w:bCs/>
                <w:sz w:val="20"/>
              </w:rPr>
              <w:t>REMARQUE </w:t>
            </w:r>
            <w:r w:rsidRPr="009D03DC">
              <w:rPr>
                <w:b/>
                <w:bCs/>
                <w:sz w:val="20"/>
              </w:rPr>
              <w:t xml:space="preserve">: </w:t>
            </w:r>
            <w:r w:rsidR="00D5168B" w:rsidRPr="009D03DC">
              <w:rPr>
                <w:b/>
                <w:bCs/>
                <w:sz w:val="20"/>
              </w:rPr>
              <w:t>À modifier si les Obligations sont remboursables</w:t>
            </w:r>
            <w:r w:rsidRPr="009D03DC">
              <w:rPr>
                <w:b/>
                <w:bCs/>
                <w:sz w:val="20"/>
              </w:rPr>
              <w:t>]</w:t>
            </w:r>
            <w:bookmarkEnd w:id="52"/>
          </w:p>
        </w:tc>
      </w:tr>
      <w:tr w:rsidR="00EB3F17" w14:paraId="0ED40B2D" w14:textId="77777777" w:rsidTr="00224D8A">
        <w:tc>
          <w:tcPr>
            <w:tcW w:w="2425" w:type="dxa"/>
          </w:tcPr>
          <w:p w14:paraId="45A0730D" w14:textId="77777777" w:rsidR="003E4FE0" w:rsidRPr="009D03DC" w:rsidRDefault="00AB0CFF" w:rsidP="003E4FE0">
            <w:pPr>
              <w:pStyle w:val="OHHpara"/>
              <w:jc w:val="left"/>
              <w:rPr>
                <w:b/>
                <w:bCs/>
                <w:sz w:val="20"/>
              </w:rPr>
            </w:pPr>
            <w:bookmarkStart w:id="53" w:name="lt_pId050"/>
            <w:r w:rsidRPr="009D03DC">
              <w:rPr>
                <w:b/>
                <w:bCs/>
                <w:sz w:val="20"/>
              </w:rPr>
              <w:t>Utilisation du produit :</w:t>
            </w:r>
            <w:bookmarkEnd w:id="53"/>
          </w:p>
        </w:tc>
        <w:tc>
          <w:tcPr>
            <w:tcW w:w="6925" w:type="dxa"/>
          </w:tcPr>
          <w:p w14:paraId="376A949D" w14:textId="77777777" w:rsidR="003E4FE0" w:rsidRPr="009D03DC" w:rsidRDefault="00AB0CFF" w:rsidP="003E4FE0">
            <w:pPr>
              <w:pStyle w:val="OHHpara"/>
              <w:rPr>
                <w:sz w:val="20"/>
              </w:rPr>
            </w:pPr>
            <w:bookmarkStart w:id="54" w:name="lt_pId051"/>
            <w:r w:rsidRPr="009D03DC">
              <w:rPr>
                <w:sz w:val="20"/>
              </w:rPr>
              <w:t>Le produit net sera utilisé pour</w:t>
            </w:r>
            <w:bookmarkEnd w:id="54"/>
            <w:r w:rsidRPr="009D03DC">
              <w:rPr>
                <w:sz w:val="20"/>
              </w:rPr>
              <w:t xml:space="preserve"> </w:t>
            </w:r>
            <w:r w:rsidRPr="009D03DC">
              <w:rPr>
                <w:rStyle w:val="Prompt"/>
                <w:rFonts w:ascii="Wingdings" w:hAnsi="Wingdings"/>
                <w:sz w:val="20"/>
              </w:rPr>
              <w:sym w:font="Wingdings" w:char="F06C"/>
            </w:r>
            <w:r w:rsidRPr="009D03DC">
              <w:rPr>
                <w:sz w:val="20"/>
              </w:rPr>
              <w:t>.</w:t>
            </w:r>
          </w:p>
        </w:tc>
      </w:tr>
      <w:tr w:rsidR="00EB3F17" w14:paraId="56817E93" w14:textId="77777777" w:rsidTr="00224D8A">
        <w:tc>
          <w:tcPr>
            <w:tcW w:w="2425" w:type="dxa"/>
          </w:tcPr>
          <w:p w14:paraId="77BD8367" w14:textId="77777777" w:rsidR="003E4FE0" w:rsidRPr="009D03DC" w:rsidRDefault="00AB0CFF" w:rsidP="003E4FE0">
            <w:pPr>
              <w:pStyle w:val="OHHpara"/>
              <w:jc w:val="left"/>
              <w:rPr>
                <w:b/>
                <w:bCs/>
                <w:sz w:val="20"/>
              </w:rPr>
            </w:pPr>
            <w:bookmarkStart w:id="55" w:name="lt_pId053"/>
            <w:r w:rsidRPr="009D03DC">
              <w:rPr>
                <w:b/>
                <w:bCs/>
                <w:sz w:val="20"/>
              </w:rPr>
              <w:t>Clause restrictive :</w:t>
            </w:r>
            <w:bookmarkEnd w:id="55"/>
          </w:p>
        </w:tc>
        <w:tc>
          <w:tcPr>
            <w:tcW w:w="6925" w:type="dxa"/>
          </w:tcPr>
          <w:p w14:paraId="3C670040" w14:textId="77777777" w:rsidR="003E4FE0" w:rsidRPr="009D03DC" w:rsidRDefault="00AB0CFF" w:rsidP="003E4FE0">
            <w:pPr>
              <w:pStyle w:val="OHHpara"/>
              <w:rPr>
                <w:sz w:val="20"/>
              </w:rPr>
            </w:pPr>
            <w:r w:rsidRPr="009D03DC">
              <w:rPr>
                <w:rStyle w:val="Prompt"/>
                <w:rFonts w:ascii="Wingdings" w:hAnsi="Wingdings"/>
                <w:sz w:val="20"/>
              </w:rPr>
              <w:sym w:font="Wingdings" w:char="F06C"/>
            </w:r>
          </w:p>
        </w:tc>
      </w:tr>
      <w:tr w:rsidR="00EB3F17" w14:paraId="42ABCD8C" w14:textId="77777777" w:rsidTr="00224D8A">
        <w:tc>
          <w:tcPr>
            <w:tcW w:w="2425" w:type="dxa"/>
          </w:tcPr>
          <w:p w14:paraId="40E1B9C0" w14:textId="77777777" w:rsidR="00EE19F4" w:rsidRPr="009D03DC" w:rsidRDefault="00AB0CFF" w:rsidP="00EE19F4">
            <w:pPr>
              <w:pStyle w:val="OHHpara"/>
              <w:jc w:val="left"/>
              <w:rPr>
                <w:b/>
                <w:bCs/>
                <w:sz w:val="20"/>
              </w:rPr>
            </w:pPr>
            <w:bookmarkStart w:id="56" w:name="lt_pId054"/>
            <w:r w:rsidRPr="009D03DC">
              <w:rPr>
                <w:b/>
                <w:bCs/>
                <w:sz w:val="20"/>
              </w:rPr>
              <w:t>A</w:t>
            </w:r>
            <w:r w:rsidR="00C64946" w:rsidRPr="009D03DC">
              <w:rPr>
                <w:b/>
                <w:bCs/>
                <w:sz w:val="20"/>
              </w:rPr>
              <w:t>gent de calcul</w:t>
            </w:r>
            <w:bookmarkEnd w:id="56"/>
            <w:r w:rsidR="0071311C" w:rsidRPr="009D03DC">
              <w:rPr>
                <w:b/>
                <w:bCs/>
                <w:sz w:val="20"/>
              </w:rPr>
              <w:t> </w:t>
            </w:r>
            <w:r w:rsidR="00C64946" w:rsidRPr="009D03DC">
              <w:rPr>
                <w:b/>
                <w:bCs/>
                <w:sz w:val="20"/>
              </w:rPr>
              <w:t>:</w:t>
            </w:r>
          </w:p>
        </w:tc>
        <w:tc>
          <w:tcPr>
            <w:tcW w:w="6925" w:type="dxa"/>
          </w:tcPr>
          <w:p w14:paraId="2E9FC741" w14:textId="77777777" w:rsidR="00EE19F4" w:rsidRPr="009D03DC" w:rsidRDefault="00AB0CFF" w:rsidP="00EE19F4">
            <w:pPr>
              <w:pStyle w:val="OHHpara"/>
              <w:rPr>
                <w:rStyle w:val="Prompt"/>
                <w:rFonts w:ascii="Wingdings" w:hAnsi="Wingdings"/>
                <w:sz w:val="20"/>
              </w:rPr>
            </w:pPr>
            <w:bookmarkStart w:id="57" w:name="lt_pId055"/>
            <w:r w:rsidRPr="009D03DC">
              <w:rPr>
                <w:sz w:val="20"/>
              </w:rPr>
              <w:t>F</w:t>
            </w:r>
            <w:r w:rsidR="00037436" w:rsidRPr="009D03DC">
              <w:rPr>
                <w:sz w:val="20"/>
              </w:rPr>
              <w:t>iduciaire</w:t>
            </w:r>
            <w:r w:rsidRPr="009D03DC">
              <w:rPr>
                <w:sz w:val="20"/>
              </w:rPr>
              <w:t xml:space="preserve"> externe</w:t>
            </w:r>
            <w:r w:rsidR="00037436" w:rsidRPr="009D03DC">
              <w:rPr>
                <w:sz w:val="20"/>
              </w:rPr>
              <w:t xml:space="preserve"> ou une institution financière </w:t>
            </w:r>
            <w:r w:rsidRPr="009D03DC">
              <w:rPr>
                <w:sz w:val="20"/>
              </w:rPr>
              <w:t xml:space="preserve">canadienne </w:t>
            </w:r>
            <w:r w:rsidR="00037436" w:rsidRPr="009D03DC">
              <w:rPr>
                <w:sz w:val="20"/>
              </w:rPr>
              <w:t xml:space="preserve">d’envergure nationale ayant de l’expérience dans la prestation de tels services (qui peut être une société affiliée de l’émetteur), choisi par l’émetteur [et qui doit </w:t>
            </w:r>
            <w:r w:rsidR="000207B2">
              <w:rPr>
                <w:sz w:val="20"/>
              </w:rPr>
              <w:t xml:space="preserve">initialement </w:t>
            </w:r>
            <w:r w:rsidR="00037436" w:rsidRPr="009D03DC">
              <w:rPr>
                <w:sz w:val="20"/>
              </w:rPr>
              <w:t>être</w:t>
            </w:r>
            <w:r w:rsidRPr="009D03DC">
              <w:rPr>
                <w:sz w:val="20"/>
              </w:rPr>
              <w:t xml:space="preserve"> </w:t>
            </w:r>
            <w:r w:rsidRPr="009D03DC">
              <w:rPr>
                <w:rStyle w:val="Prompt"/>
                <w:rFonts w:ascii="Wingdings" w:hAnsi="Wingdings"/>
                <w:sz w:val="20"/>
              </w:rPr>
              <w:sym w:font="Wingdings" w:char="F06C"/>
            </w:r>
            <w:r w:rsidR="00037436" w:rsidRPr="009D03DC">
              <w:rPr>
                <w:sz w:val="20"/>
              </w:rPr>
              <w:t xml:space="preserve"> ].</w:t>
            </w:r>
            <w:bookmarkEnd w:id="57"/>
          </w:p>
        </w:tc>
      </w:tr>
      <w:tr w:rsidR="00EB3F17" w14:paraId="69E3DF4B" w14:textId="77777777" w:rsidTr="00224D8A">
        <w:tc>
          <w:tcPr>
            <w:tcW w:w="2425" w:type="dxa"/>
          </w:tcPr>
          <w:p w14:paraId="53F951E5" w14:textId="77777777" w:rsidR="003E4FE0" w:rsidRPr="009D03DC" w:rsidRDefault="00AB0CFF" w:rsidP="003E4FE0">
            <w:pPr>
              <w:pStyle w:val="OHHpara"/>
              <w:jc w:val="left"/>
              <w:rPr>
                <w:b/>
                <w:bCs/>
                <w:sz w:val="20"/>
              </w:rPr>
            </w:pPr>
            <w:bookmarkStart w:id="58" w:name="lt_pId056"/>
            <w:r w:rsidRPr="009D03DC">
              <w:rPr>
                <w:b/>
                <w:bCs/>
                <w:sz w:val="20"/>
              </w:rPr>
              <w:lastRenderedPageBreak/>
              <w:t>Form</w:t>
            </w:r>
            <w:r w:rsidR="00F54DE6" w:rsidRPr="009D03DC">
              <w:rPr>
                <w:b/>
                <w:bCs/>
                <w:sz w:val="20"/>
              </w:rPr>
              <w:t>ulaire </w:t>
            </w:r>
            <w:r w:rsidRPr="009D03DC">
              <w:rPr>
                <w:b/>
                <w:bCs/>
                <w:sz w:val="20"/>
              </w:rPr>
              <w:t>:</w:t>
            </w:r>
            <w:bookmarkEnd w:id="58"/>
          </w:p>
        </w:tc>
        <w:tc>
          <w:tcPr>
            <w:tcW w:w="6925" w:type="dxa"/>
          </w:tcPr>
          <w:p w14:paraId="1EC79676" w14:textId="77777777" w:rsidR="003E4FE0" w:rsidRPr="009D03DC" w:rsidRDefault="00AB0CFF" w:rsidP="003E4FE0">
            <w:pPr>
              <w:pStyle w:val="OHHpara"/>
              <w:rPr>
                <w:sz w:val="20"/>
              </w:rPr>
            </w:pPr>
            <w:bookmarkStart w:id="59" w:name="lt_pId057"/>
            <w:r w:rsidRPr="009D03DC">
              <w:rPr>
                <w:sz w:val="20"/>
              </w:rPr>
              <w:t xml:space="preserve">Inscription </w:t>
            </w:r>
            <w:r w:rsidR="00F54DE6" w:rsidRPr="009D03DC">
              <w:rPr>
                <w:sz w:val="20"/>
              </w:rPr>
              <w:t>de données uni</w:t>
            </w:r>
            <w:r w:rsidR="00037436" w:rsidRPr="009D03DC">
              <w:rPr>
                <w:sz w:val="20"/>
              </w:rPr>
              <w:t xml:space="preserve">quement par l’intermédiaire des participants au </w:t>
            </w:r>
            <w:r w:rsidR="00F54DE6" w:rsidRPr="009D03DC">
              <w:rPr>
                <w:sz w:val="20"/>
              </w:rPr>
              <w:t>CDS</w:t>
            </w:r>
            <w:r w:rsidR="00037436" w:rsidRPr="009D03DC">
              <w:rPr>
                <w:sz w:val="20"/>
              </w:rPr>
              <w:t>.</w:t>
            </w:r>
            <w:bookmarkEnd w:id="59"/>
            <w:r w:rsidR="00037436" w:rsidRPr="009D03DC">
              <w:rPr>
                <w:sz w:val="20"/>
              </w:rPr>
              <w:t xml:space="preserve"> </w:t>
            </w:r>
          </w:p>
        </w:tc>
      </w:tr>
      <w:tr w:rsidR="00EB3F17" w14:paraId="4940FA7B" w14:textId="77777777" w:rsidTr="00224D8A">
        <w:tc>
          <w:tcPr>
            <w:tcW w:w="2425" w:type="dxa"/>
          </w:tcPr>
          <w:p w14:paraId="65FA2373" w14:textId="77777777" w:rsidR="003E4FE0" w:rsidRPr="009D03DC" w:rsidRDefault="00AB0CFF" w:rsidP="003E4FE0">
            <w:pPr>
              <w:pStyle w:val="OHHpara"/>
              <w:rPr>
                <w:b/>
                <w:bCs/>
                <w:sz w:val="20"/>
              </w:rPr>
            </w:pPr>
            <w:bookmarkStart w:id="60" w:name="lt_pId058"/>
            <w:r w:rsidRPr="009D03DC">
              <w:rPr>
                <w:b/>
                <w:bCs/>
                <w:sz w:val="20"/>
              </w:rPr>
              <w:t>Montant minimal des coupures </w:t>
            </w:r>
            <w:r w:rsidR="00037436" w:rsidRPr="009D03DC">
              <w:rPr>
                <w:b/>
                <w:bCs/>
                <w:sz w:val="20"/>
              </w:rPr>
              <w:t>:</w:t>
            </w:r>
            <w:bookmarkEnd w:id="60"/>
          </w:p>
        </w:tc>
        <w:tc>
          <w:tcPr>
            <w:tcW w:w="6925" w:type="dxa"/>
          </w:tcPr>
          <w:p w14:paraId="482EDF80" w14:textId="77777777" w:rsidR="003E4FE0" w:rsidRPr="009D03DC" w:rsidRDefault="00AB0CFF" w:rsidP="003E4FE0">
            <w:pPr>
              <w:pStyle w:val="OHHpara"/>
              <w:rPr>
                <w:sz w:val="20"/>
              </w:rPr>
            </w:pPr>
            <w:bookmarkStart w:id="61" w:name="lt_pId059"/>
            <w:r w:rsidRPr="009D03DC">
              <w:rPr>
                <w:rStyle w:val="Prompt"/>
                <w:rFonts w:ascii="Wingdings" w:hAnsi="Wingdings"/>
                <w:sz w:val="20"/>
              </w:rPr>
              <w:sym w:font="Wingdings" w:char="F06C"/>
            </w:r>
            <w:r w:rsidRPr="009D03DC">
              <w:rPr>
                <w:sz w:val="20"/>
              </w:rPr>
              <w:t xml:space="preserve"> $ </w:t>
            </w:r>
            <w:r w:rsidR="000207B2">
              <w:rPr>
                <w:sz w:val="20"/>
              </w:rPr>
              <w:t>ou</w:t>
            </w:r>
            <w:r w:rsidR="006810B8">
              <w:rPr>
                <w:sz w:val="20"/>
              </w:rPr>
              <w:t xml:space="preserve"> en</w:t>
            </w:r>
            <w:r w:rsidRPr="009D03DC">
              <w:rPr>
                <w:sz w:val="20"/>
              </w:rPr>
              <w:t xml:space="preserve"> multiples intégraux de </w:t>
            </w:r>
            <w:r w:rsidR="000207B2" w:rsidRPr="009D03DC">
              <w:rPr>
                <w:rStyle w:val="Prompt"/>
                <w:rFonts w:ascii="Wingdings" w:hAnsi="Wingdings"/>
                <w:sz w:val="20"/>
              </w:rPr>
              <w:sym w:font="Wingdings" w:char="F06C"/>
            </w:r>
            <w:r w:rsidR="000207B2" w:rsidRPr="009D03DC">
              <w:rPr>
                <w:sz w:val="20"/>
              </w:rPr>
              <w:t xml:space="preserve"> $</w:t>
            </w:r>
            <w:r w:rsidR="00CB6E44" w:rsidRPr="009D03DC">
              <w:rPr>
                <w:sz w:val="20"/>
              </w:rPr>
              <w:t xml:space="preserve"> pour le reliquat</w:t>
            </w:r>
            <w:r w:rsidR="00037436" w:rsidRPr="009D03DC">
              <w:rPr>
                <w:rStyle w:val="Prompt"/>
                <w:sz w:val="20"/>
              </w:rPr>
              <w:t>.</w:t>
            </w:r>
            <w:bookmarkEnd w:id="61"/>
          </w:p>
        </w:tc>
      </w:tr>
      <w:tr w:rsidR="00EB3F17" w14:paraId="1BF0EEAE" w14:textId="77777777" w:rsidTr="00224D8A">
        <w:tc>
          <w:tcPr>
            <w:tcW w:w="2425" w:type="dxa"/>
          </w:tcPr>
          <w:p w14:paraId="5CD61760" w14:textId="77777777" w:rsidR="003E4FE0" w:rsidRPr="009D03DC" w:rsidRDefault="00AB0CFF" w:rsidP="003E4FE0">
            <w:pPr>
              <w:pStyle w:val="OHHpara"/>
              <w:rPr>
                <w:b/>
                <w:bCs/>
                <w:sz w:val="20"/>
              </w:rPr>
            </w:pPr>
            <w:bookmarkStart w:id="62" w:name="lt_pId060"/>
            <w:r w:rsidRPr="009D03DC">
              <w:rPr>
                <w:b/>
                <w:bCs/>
                <w:sz w:val="20"/>
              </w:rPr>
              <w:t>Numéro CUSIP ou ISIN </w:t>
            </w:r>
            <w:r w:rsidR="00037436" w:rsidRPr="009D03DC">
              <w:rPr>
                <w:b/>
                <w:bCs/>
                <w:sz w:val="20"/>
              </w:rPr>
              <w:t>:</w:t>
            </w:r>
            <w:bookmarkEnd w:id="62"/>
            <w:r w:rsidR="00037436" w:rsidRPr="009D03DC">
              <w:rPr>
                <w:b/>
                <w:bCs/>
                <w:sz w:val="20"/>
              </w:rPr>
              <w:t xml:space="preserve"> </w:t>
            </w:r>
          </w:p>
        </w:tc>
        <w:tc>
          <w:tcPr>
            <w:tcW w:w="6925" w:type="dxa"/>
          </w:tcPr>
          <w:p w14:paraId="1C4B9DC9" w14:textId="77777777" w:rsidR="003E4FE0" w:rsidRPr="009D03DC" w:rsidRDefault="00AB0CFF" w:rsidP="003E4FE0">
            <w:pPr>
              <w:pStyle w:val="OHHpara"/>
              <w:rPr>
                <w:sz w:val="20"/>
              </w:rPr>
            </w:pPr>
            <w:r w:rsidRPr="009D03DC">
              <w:rPr>
                <w:rStyle w:val="Prompt"/>
                <w:rFonts w:ascii="Wingdings" w:hAnsi="Wingdings"/>
                <w:sz w:val="20"/>
              </w:rPr>
              <w:sym w:font="Wingdings" w:char="F06C"/>
            </w:r>
            <w:r w:rsidRPr="009D03DC">
              <w:rPr>
                <w:sz w:val="20"/>
              </w:rPr>
              <w:t xml:space="preserve"> / </w:t>
            </w:r>
            <w:r w:rsidRPr="009D03DC">
              <w:rPr>
                <w:rStyle w:val="Prompt"/>
                <w:rFonts w:ascii="Wingdings" w:hAnsi="Wingdings"/>
                <w:sz w:val="20"/>
              </w:rPr>
              <w:sym w:font="Wingdings" w:char="F06C"/>
            </w:r>
          </w:p>
        </w:tc>
      </w:tr>
      <w:tr w:rsidR="00EB3F17" w14:paraId="3759F0FD" w14:textId="77777777" w:rsidTr="00224D8A">
        <w:tc>
          <w:tcPr>
            <w:tcW w:w="2425" w:type="dxa"/>
          </w:tcPr>
          <w:p w14:paraId="050147B4" w14:textId="77777777" w:rsidR="003E4FE0" w:rsidRPr="009D03DC" w:rsidRDefault="00AB0CFF" w:rsidP="003E4FE0">
            <w:pPr>
              <w:pStyle w:val="OHHpara"/>
              <w:rPr>
                <w:b/>
                <w:bCs/>
                <w:sz w:val="20"/>
              </w:rPr>
            </w:pPr>
            <w:bookmarkStart w:id="63" w:name="lt_pId062"/>
            <w:r w:rsidRPr="009D03DC">
              <w:rPr>
                <w:b/>
                <w:bCs/>
                <w:sz w:val="20"/>
              </w:rPr>
              <w:t>Loi applicable</w:t>
            </w:r>
            <w:r w:rsidR="00CB6E44" w:rsidRPr="009D03DC">
              <w:rPr>
                <w:b/>
                <w:bCs/>
                <w:sz w:val="20"/>
              </w:rPr>
              <w:t> </w:t>
            </w:r>
            <w:r w:rsidRPr="009D03DC">
              <w:rPr>
                <w:b/>
                <w:bCs/>
                <w:sz w:val="20"/>
              </w:rPr>
              <w:t>:</w:t>
            </w:r>
            <w:bookmarkEnd w:id="63"/>
          </w:p>
        </w:tc>
        <w:tc>
          <w:tcPr>
            <w:tcW w:w="6925" w:type="dxa"/>
          </w:tcPr>
          <w:p w14:paraId="1D288A9A" w14:textId="77777777" w:rsidR="003E4FE0" w:rsidRPr="009D03DC" w:rsidRDefault="00AB0CFF" w:rsidP="003E4FE0">
            <w:pPr>
              <w:pStyle w:val="OHHpara"/>
              <w:rPr>
                <w:sz w:val="20"/>
              </w:rPr>
            </w:pPr>
            <w:bookmarkStart w:id="64" w:name="lt_pId063"/>
            <w:r w:rsidRPr="009D03DC">
              <w:rPr>
                <w:sz w:val="20"/>
              </w:rPr>
              <w:t>Lois de</w:t>
            </w:r>
            <w:bookmarkEnd w:id="64"/>
            <w:r w:rsidRPr="009D03DC">
              <w:rPr>
                <w:sz w:val="20"/>
              </w:rPr>
              <w:t xml:space="preserve"> </w:t>
            </w:r>
            <w:r w:rsidRPr="009D03DC">
              <w:rPr>
                <w:rStyle w:val="Prompt"/>
                <w:rFonts w:ascii="Wingdings" w:hAnsi="Wingdings"/>
                <w:sz w:val="20"/>
              </w:rPr>
              <w:sym w:font="Wingdings" w:char="F06C"/>
            </w:r>
            <w:r w:rsidRPr="009D03DC">
              <w:rPr>
                <w:sz w:val="20"/>
              </w:rPr>
              <w:t xml:space="preserve"> </w:t>
            </w:r>
          </w:p>
        </w:tc>
      </w:tr>
      <w:tr w:rsidR="00EB3F17" w14:paraId="6A6ACF30" w14:textId="77777777" w:rsidTr="00224D8A">
        <w:tc>
          <w:tcPr>
            <w:tcW w:w="2425" w:type="dxa"/>
          </w:tcPr>
          <w:p w14:paraId="107EF8D9" w14:textId="77777777" w:rsidR="003E4FE0" w:rsidRPr="009D03DC" w:rsidRDefault="00AB0CFF" w:rsidP="003E4FE0">
            <w:pPr>
              <w:pStyle w:val="OHHpara"/>
              <w:rPr>
                <w:b/>
                <w:bCs/>
                <w:sz w:val="20"/>
              </w:rPr>
            </w:pPr>
            <w:bookmarkStart w:id="65" w:name="lt_pId064"/>
            <w:r w:rsidRPr="009D03DC">
              <w:rPr>
                <w:b/>
                <w:bCs/>
                <w:sz w:val="20"/>
              </w:rPr>
              <w:t>Syndicat</w:t>
            </w:r>
            <w:r w:rsidR="00CB6E44" w:rsidRPr="009D03DC">
              <w:rPr>
                <w:b/>
                <w:bCs/>
                <w:sz w:val="20"/>
              </w:rPr>
              <w:t> </w:t>
            </w:r>
            <w:r w:rsidRPr="009D03DC">
              <w:rPr>
                <w:b/>
                <w:bCs/>
                <w:sz w:val="20"/>
              </w:rPr>
              <w:t>:</w:t>
            </w:r>
            <w:bookmarkEnd w:id="65"/>
          </w:p>
        </w:tc>
        <w:tc>
          <w:tcPr>
            <w:tcW w:w="6925" w:type="dxa"/>
          </w:tcPr>
          <w:p w14:paraId="721D55A0" w14:textId="77777777" w:rsidR="003E4FE0" w:rsidRPr="009D03DC" w:rsidRDefault="00AB0CFF" w:rsidP="003E4FE0">
            <w:pPr>
              <w:pStyle w:val="OHHpara"/>
              <w:rPr>
                <w:sz w:val="20"/>
              </w:rPr>
            </w:pPr>
            <w:r w:rsidRPr="009D03DC">
              <w:rPr>
                <w:rStyle w:val="Prompt"/>
                <w:rFonts w:ascii="Wingdings" w:hAnsi="Wingdings"/>
                <w:sz w:val="20"/>
              </w:rPr>
              <w:sym w:font="Wingdings" w:char="F06C"/>
            </w:r>
          </w:p>
        </w:tc>
      </w:tr>
      <w:bookmarkEnd w:id="2"/>
    </w:tbl>
    <w:p w14:paraId="1E9B4C37" w14:textId="77777777" w:rsidR="0058602C" w:rsidRPr="009D03DC" w:rsidRDefault="0058602C" w:rsidP="00B41505">
      <w:pPr>
        <w:pStyle w:val="OHHpara"/>
        <w:rPr>
          <w:sz w:val="20"/>
        </w:rPr>
      </w:pPr>
    </w:p>
    <w:p w14:paraId="46C7A369" w14:textId="77777777" w:rsidR="00E25C8A" w:rsidRPr="009D03DC" w:rsidRDefault="00AB0CFF" w:rsidP="006E7B73">
      <w:pPr>
        <w:pStyle w:val="OHHpara"/>
        <w:keepNext/>
        <w:rPr>
          <w:sz w:val="20"/>
        </w:rPr>
      </w:pPr>
      <w:bookmarkStart w:id="66" w:name="lt_pId065"/>
      <w:r w:rsidRPr="009D03DC">
        <w:rPr>
          <w:b/>
          <w:bCs/>
          <w:sz w:val="20"/>
        </w:rPr>
        <w:t>Modifications relatives au taux de rechange applicable</w:t>
      </w:r>
      <w:bookmarkEnd w:id="66"/>
    </w:p>
    <w:p w14:paraId="73D4CD48" w14:textId="77777777" w:rsidR="00C2609C" w:rsidRPr="009D03DC" w:rsidRDefault="00AB0CFF" w:rsidP="006E7B73">
      <w:pPr>
        <w:pStyle w:val="OHHpara"/>
        <w:keepNext/>
        <w:rPr>
          <w:i/>
          <w:iCs/>
          <w:sz w:val="20"/>
        </w:rPr>
      </w:pPr>
      <w:bookmarkStart w:id="67" w:name="lt_pId066"/>
      <w:r w:rsidRPr="009D03DC">
        <w:rPr>
          <w:i/>
          <w:iCs/>
          <w:sz w:val="20"/>
          <w:u w:val="single"/>
        </w:rPr>
        <w:t>T</w:t>
      </w:r>
      <w:r w:rsidR="00037436" w:rsidRPr="009D03DC">
        <w:rPr>
          <w:i/>
          <w:iCs/>
          <w:sz w:val="20"/>
          <w:u w:val="single"/>
        </w:rPr>
        <w:t xml:space="preserve">aux CORRA </w:t>
      </w:r>
      <w:r w:rsidRPr="009D03DC">
        <w:rPr>
          <w:i/>
          <w:iCs/>
          <w:sz w:val="20"/>
          <w:u w:val="single"/>
        </w:rPr>
        <w:t>quotidien composé</w:t>
      </w:r>
      <w:bookmarkEnd w:id="67"/>
    </w:p>
    <w:p w14:paraId="45D430B4" w14:textId="77777777" w:rsidR="00C2609C" w:rsidRPr="009D03DC" w:rsidRDefault="00AB0CFF" w:rsidP="006E7B73">
      <w:pPr>
        <w:pStyle w:val="OHHpara"/>
        <w:keepNext/>
        <w:rPr>
          <w:sz w:val="20"/>
        </w:rPr>
      </w:pPr>
      <w:bookmarkStart w:id="68" w:name="lt_pId067"/>
      <w:r w:rsidRPr="009D03DC">
        <w:rPr>
          <w:sz w:val="20"/>
        </w:rPr>
        <w:t xml:space="preserve">Si </w:t>
      </w:r>
      <w:r w:rsidR="003F4A30" w:rsidRPr="009D03DC">
        <w:rPr>
          <w:sz w:val="20"/>
        </w:rPr>
        <w:t xml:space="preserve">l’indice du taux CORRA composé </w:t>
      </w:r>
      <w:r w:rsidR="003F4A30" w:rsidRPr="009D03DC">
        <w:rPr>
          <w:sz w:val="20"/>
          <w:vertAlign w:val="subscript"/>
        </w:rPr>
        <w:t>début</w:t>
      </w:r>
      <w:r w:rsidR="003F4A30" w:rsidRPr="009D03DC">
        <w:rPr>
          <w:sz w:val="20"/>
        </w:rPr>
        <w:t xml:space="preserve"> </w:t>
      </w:r>
      <w:r w:rsidRPr="009D03DC">
        <w:rPr>
          <w:sz w:val="20"/>
        </w:rPr>
        <w:t xml:space="preserve">ou </w:t>
      </w:r>
      <w:r w:rsidR="003F4A30" w:rsidRPr="009D03DC">
        <w:rPr>
          <w:sz w:val="20"/>
        </w:rPr>
        <w:t xml:space="preserve">l’ indice du taux CORRA composé </w:t>
      </w:r>
      <w:r w:rsidR="003F4A30" w:rsidRPr="009D03DC">
        <w:rPr>
          <w:sz w:val="20"/>
          <w:vertAlign w:val="subscript"/>
        </w:rPr>
        <w:t xml:space="preserve">fin </w:t>
      </w:r>
      <w:r w:rsidRPr="009D03DC">
        <w:rPr>
          <w:sz w:val="20"/>
        </w:rPr>
        <w:t xml:space="preserve">n’est pas publié ou affiché par l’administrateur ou le distributeur autorisé </w:t>
      </w:r>
      <w:r w:rsidR="001E6936">
        <w:rPr>
          <w:sz w:val="20"/>
        </w:rPr>
        <w:t>au plus tard à</w:t>
      </w:r>
      <w:r w:rsidR="001E6936" w:rsidRPr="009D03DC">
        <w:rPr>
          <w:sz w:val="20"/>
        </w:rPr>
        <w:t xml:space="preserve"> </w:t>
      </w:r>
      <w:r w:rsidRPr="009D03DC">
        <w:rPr>
          <w:sz w:val="20"/>
        </w:rPr>
        <w:t>11h30</w:t>
      </w:r>
      <w:r w:rsidR="009C7316" w:rsidRPr="009D03DC">
        <w:rPr>
          <w:sz w:val="20"/>
        </w:rPr>
        <w:t>,</w:t>
      </w:r>
      <w:bookmarkStart w:id="69" w:name="lt_pId068"/>
      <w:bookmarkEnd w:id="68"/>
      <w:r w:rsidR="009C7316" w:rsidRPr="009D03DC">
        <w:rPr>
          <w:sz w:val="20"/>
        </w:rPr>
        <w:t xml:space="preserve"> </w:t>
      </w:r>
      <w:r w:rsidR="00DD6ECD" w:rsidRPr="009D03DC">
        <w:rPr>
          <w:sz w:val="20"/>
        </w:rPr>
        <w:t xml:space="preserve">heure de Toronto (ou </w:t>
      </w:r>
      <w:r w:rsidR="009C7316" w:rsidRPr="009D03DC">
        <w:rPr>
          <w:sz w:val="20"/>
        </w:rPr>
        <w:t xml:space="preserve">à </w:t>
      </w:r>
      <w:r w:rsidR="00DD6ECD" w:rsidRPr="009D03DC">
        <w:rPr>
          <w:sz w:val="20"/>
        </w:rPr>
        <w:t xml:space="preserve">une </w:t>
      </w:r>
      <w:r w:rsidR="009C7316" w:rsidRPr="009D03DC">
        <w:rPr>
          <w:sz w:val="20"/>
        </w:rPr>
        <w:t>heure</w:t>
      </w:r>
      <w:r w:rsidR="00DD6ECD" w:rsidRPr="009D03DC">
        <w:rPr>
          <w:sz w:val="20"/>
        </w:rPr>
        <w:t xml:space="preserve"> de publication </w:t>
      </w:r>
      <w:r w:rsidR="00221B59" w:rsidRPr="009D03DC">
        <w:rPr>
          <w:sz w:val="20"/>
        </w:rPr>
        <w:t>différent</w:t>
      </w:r>
      <w:r w:rsidR="00DD6ECD" w:rsidRPr="009D03DC">
        <w:rPr>
          <w:sz w:val="20"/>
        </w:rPr>
        <w:t xml:space="preserve">e, le cas échéant, </w:t>
      </w:r>
      <w:r w:rsidR="009C7316" w:rsidRPr="009D03DC">
        <w:rPr>
          <w:sz w:val="20"/>
        </w:rPr>
        <w:t>comme stipulé</w:t>
      </w:r>
      <w:r w:rsidR="00DD6ECD" w:rsidRPr="009D03DC">
        <w:rPr>
          <w:sz w:val="20"/>
        </w:rPr>
        <w:t xml:space="preserve"> dans la méthodologie </w:t>
      </w:r>
      <w:r w:rsidR="009C7316" w:rsidRPr="009D03DC">
        <w:rPr>
          <w:sz w:val="20"/>
        </w:rPr>
        <w:t xml:space="preserve">utilisée par l’administrateur pour </w:t>
      </w:r>
      <w:r w:rsidR="00425B5F" w:rsidRPr="009D03DC">
        <w:rPr>
          <w:sz w:val="20"/>
        </w:rPr>
        <w:t>le calcul de</w:t>
      </w:r>
      <w:r w:rsidR="00DD6ECD" w:rsidRPr="009D03DC">
        <w:rPr>
          <w:sz w:val="20"/>
        </w:rPr>
        <w:t xml:space="preserve"> l’indice </w:t>
      </w:r>
      <w:r w:rsidR="009C7316" w:rsidRPr="009D03DC">
        <w:rPr>
          <w:sz w:val="20"/>
        </w:rPr>
        <w:t>du taux</w:t>
      </w:r>
      <w:r w:rsidR="00DD6ECD" w:rsidRPr="009D03DC">
        <w:rPr>
          <w:sz w:val="20"/>
        </w:rPr>
        <w:t xml:space="preserve"> CORRA </w:t>
      </w:r>
      <w:r w:rsidR="009C7316" w:rsidRPr="009D03DC">
        <w:rPr>
          <w:sz w:val="20"/>
        </w:rPr>
        <w:t>c</w:t>
      </w:r>
      <w:r w:rsidR="00964C15" w:rsidRPr="009D03DC">
        <w:rPr>
          <w:sz w:val="20"/>
        </w:rPr>
        <w:t>o</w:t>
      </w:r>
      <w:r w:rsidR="009C7316" w:rsidRPr="009D03DC">
        <w:rPr>
          <w:sz w:val="20"/>
        </w:rPr>
        <w:t>mposé</w:t>
      </w:r>
      <w:r w:rsidR="00DD6ECD" w:rsidRPr="009D03DC">
        <w:rPr>
          <w:sz w:val="20"/>
        </w:rPr>
        <w:t>)</w:t>
      </w:r>
      <w:r w:rsidR="00425B5F" w:rsidRPr="009D03DC">
        <w:rPr>
          <w:sz w:val="20"/>
        </w:rPr>
        <w:t>,</w:t>
      </w:r>
      <w:r w:rsidR="00DD6ECD" w:rsidRPr="009D03DC">
        <w:rPr>
          <w:sz w:val="20"/>
        </w:rPr>
        <w:t xml:space="preserve"> à la date de détermination des intérêts </w:t>
      </w:r>
      <w:r w:rsidR="00221B59" w:rsidRPr="009D03DC">
        <w:rPr>
          <w:sz w:val="20"/>
        </w:rPr>
        <w:t xml:space="preserve">établie </w:t>
      </w:r>
      <w:r w:rsidR="00DD6ECD" w:rsidRPr="009D03DC">
        <w:rPr>
          <w:sz w:val="20"/>
        </w:rPr>
        <w:t>pour cette période</w:t>
      </w:r>
      <w:r w:rsidR="00107947" w:rsidRPr="009D03DC">
        <w:rPr>
          <w:sz w:val="20"/>
        </w:rPr>
        <w:t xml:space="preserve"> de calcul des </w:t>
      </w:r>
      <w:r w:rsidR="00DD6ECD" w:rsidRPr="009D03DC">
        <w:rPr>
          <w:sz w:val="20"/>
        </w:rPr>
        <w:t>intérêt</w:t>
      </w:r>
      <w:r w:rsidR="00107947" w:rsidRPr="009D03DC">
        <w:rPr>
          <w:sz w:val="20"/>
        </w:rPr>
        <w:t>s</w:t>
      </w:r>
      <w:r w:rsidR="00DD6ECD" w:rsidRPr="009D03DC">
        <w:rPr>
          <w:sz w:val="20"/>
        </w:rPr>
        <w:t xml:space="preserve">, mais </w:t>
      </w:r>
      <w:r w:rsidR="00D0264C" w:rsidRPr="009D03DC">
        <w:rPr>
          <w:sz w:val="20"/>
        </w:rPr>
        <w:t>qu</w:t>
      </w:r>
      <w:r w:rsidR="00425B5F" w:rsidRPr="009D03DC">
        <w:rPr>
          <w:sz w:val="20"/>
        </w:rPr>
        <w:t>e la</w:t>
      </w:r>
      <w:r w:rsidR="00D0264C" w:rsidRPr="009D03DC">
        <w:rPr>
          <w:sz w:val="20"/>
        </w:rPr>
        <w:t xml:space="preserve"> date d’effet de l’abandon d</w:t>
      </w:r>
      <w:r w:rsidR="00425B5F" w:rsidRPr="009D03DC">
        <w:rPr>
          <w:sz w:val="20"/>
        </w:rPr>
        <w:t xml:space="preserve">e l’indice du taux CORRA composé n’est pas survenue, ou que la date d’effet de l’abandon de l’indice </w:t>
      </w:r>
      <w:r w:rsidR="00042E7F">
        <w:rPr>
          <w:sz w:val="20"/>
        </w:rPr>
        <w:t xml:space="preserve">du taux </w:t>
      </w:r>
      <w:r w:rsidR="00425B5F" w:rsidRPr="009D03DC">
        <w:rPr>
          <w:sz w:val="20"/>
        </w:rPr>
        <w:t xml:space="preserve">CORRA </w:t>
      </w:r>
      <w:r w:rsidR="00042E7F" w:rsidRPr="009D03DC">
        <w:rPr>
          <w:sz w:val="20"/>
        </w:rPr>
        <w:t xml:space="preserve">composé </w:t>
      </w:r>
      <w:r w:rsidR="00425B5F" w:rsidRPr="009D03DC">
        <w:rPr>
          <w:sz w:val="20"/>
        </w:rPr>
        <w:t>est survenue, alors</w:t>
      </w:r>
      <w:r w:rsidR="00DD6ECD" w:rsidRPr="009D03DC">
        <w:rPr>
          <w:sz w:val="20"/>
        </w:rPr>
        <w:t xml:space="preserve"> le taux </w:t>
      </w:r>
      <w:r w:rsidR="00425B5F" w:rsidRPr="009D03DC">
        <w:rPr>
          <w:sz w:val="20"/>
        </w:rPr>
        <w:t>applicable à la</w:t>
      </w:r>
      <w:r w:rsidR="00DD6ECD" w:rsidRPr="009D03DC">
        <w:rPr>
          <w:sz w:val="20"/>
        </w:rPr>
        <w:t xml:space="preserve"> date de détermination des intérêts qui se rapporte à une période </w:t>
      </w:r>
      <w:r w:rsidR="00425B5F" w:rsidRPr="009D03DC">
        <w:rPr>
          <w:sz w:val="20"/>
        </w:rPr>
        <w:t>de calcul des intérêts</w:t>
      </w:r>
      <w:r w:rsidR="00DD6ECD" w:rsidRPr="009D03DC">
        <w:rPr>
          <w:sz w:val="20"/>
        </w:rPr>
        <w:t xml:space="preserve"> pertinente sera calculé par l’agent de calcul à l’aide de la méthode suivante, le pourcentage résultant étant arrondi, si nécessaire, à la cinquième décimale</w:t>
      </w:r>
      <w:r w:rsidR="00964C15" w:rsidRPr="009D03DC">
        <w:rPr>
          <w:sz w:val="20"/>
        </w:rPr>
        <w:t xml:space="preserve"> près</w:t>
      </w:r>
      <w:r w:rsidR="00DD6ECD" w:rsidRPr="009D03DC">
        <w:rPr>
          <w:sz w:val="20"/>
        </w:rPr>
        <w:t>, 0,000005</w:t>
      </w:r>
      <w:r w:rsidR="00425B5F" w:rsidRPr="009D03DC">
        <w:rPr>
          <w:sz w:val="20"/>
        </w:rPr>
        <w:t> </w:t>
      </w:r>
      <w:r w:rsidR="00DD6ECD" w:rsidRPr="009D03DC">
        <w:rPr>
          <w:sz w:val="20"/>
        </w:rPr>
        <w:t xml:space="preserve">% étant arrondi à la </w:t>
      </w:r>
      <w:r w:rsidR="00964C15" w:rsidRPr="009D03DC">
        <w:rPr>
          <w:sz w:val="20"/>
        </w:rPr>
        <w:t xml:space="preserve">valeur décimale supérieure </w:t>
      </w:r>
      <w:r w:rsidR="00DD6ECD" w:rsidRPr="009D03DC">
        <w:rPr>
          <w:sz w:val="20"/>
        </w:rPr>
        <w:t>et -0,000005</w:t>
      </w:r>
      <w:r w:rsidR="00425B5F" w:rsidRPr="009D03DC">
        <w:rPr>
          <w:sz w:val="20"/>
        </w:rPr>
        <w:t> </w:t>
      </w:r>
      <w:r w:rsidR="00DD6ECD" w:rsidRPr="009D03DC">
        <w:rPr>
          <w:sz w:val="20"/>
        </w:rPr>
        <w:t xml:space="preserve">% </w:t>
      </w:r>
      <w:r w:rsidR="00964C15" w:rsidRPr="009D03DC">
        <w:rPr>
          <w:sz w:val="20"/>
        </w:rPr>
        <w:t xml:space="preserve">étant </w:t>
      </w:r>
      <w:r w:rsidR="00DD6ECD" w:rsidRPr="009D03DC">
        <w:rPr>
          <w:sz w:val="20"/>
        </w:rPr>
        <w:t xml:space="preserve">arrondi à la </w:t>
      </w:r>
      <w:r w:rsidR="00964C15" w:rsidRPr="009D03DC">
        <w:rPr>
          <w:sz w:val="20"/>
        </w:rPr>
        <w:t>valeur décimale inférieure </w:t>
      </w:r>
      <w:r w:rsidR="00DD6ECD" w:rsidRPr="009D03DC">
        <w:rPr>
          <w:sz w:val="20"/>
        </w:rPr>
        <w:t>:</w:t>
      </w:r>
      <w:bookmarkEnd w:id="69"/>
    </w:p>
    <w:p w14:paraId="785D3271" w14:textId="77777777" w:rsidR="00DD6ECD" w:rsidRPr="009D03DC" w:rsidRDefault="00AB0CFF" w:rsidP="00DD6ECD">
      <w:pPr>
        <w:pStyle w:val="OHHpara"/>
        <w:jc w:val="center"/>
        <w:rPr>
          <w:sz w:val="20"/>
        </w:rPr>
      </w:pPr>
      <w:bookmarkStart w:id="70" w:name="lt_pId069"/>
      <w:r w:rsidRPr="009D03DC">
        <w:rPr>
          <w:i/>
          <w:iCs/>
          <w:sz w:val="20"/>
        </w:rPr>
        <w:t>Taux</w:t>
      </w:r>
      <w:r w:rsidR="00037436" w:rsidRPr="009D03DC">
        <w:rPr>
          <w:i/>
          <w:iCs/>
          <w:sz w:val="20"/>
        </w:rPr>
        <w:t xml:space="preserve"> CORRA </w:t>
      </w:r>
      <w:r w:rsidRPr="009D03DC">
        <w:rPr>
          <w:i/>
          <w:iCs/>
          <w:sz w:val="20"/>
        </w:rPr>
        <w:t xml:space="preserve">quotidien </w:t>
      </w:r>
      <w:r w:rsidR="00037436" w:rsidRPr="009D03DC">
        <w:rPr>
          <w:i/>
          <w:iCs/>
          <w:sz w:val="20"/>
        </w:rPr>
        <w:t>composé</w:t>
      </w:r>
      <w:r w:rsidRPr="009D03DC">
        <w:rPr>
          <w:i/>
          <w:iCs/>
          <w:sz w:val="20"/>
        </w:rPr>
        <w:t xml:space="preserve"> =</w:t>
      </w:r>
      <w:bookmarkEnd w:id="70"/>
      <w:r w:rsidR="00037436" w:rsidRPr="009D03DC">
        <w:rPr>
          <w:i/>
          <w:iCs/>
          <w:sz w:val="20"/>
        </w:rPr>
        <w:t xml:space="preserve"> </w:t>
      </w:r>
      <m:oMath>
        <m:d>
          <m:dPr>
            <m:ctrlPr>
              <w:rPr>
                <w:rFonts w:ascii="Cambria Math" w:hAnsi="Cambria Math"/>
                <w:i/>
                <w:sz w:val="20"/>
              </w:rPr>
            </m:ctrlPr>
          </m:dPr>
          <m:e>
            <m:nary>
              <m:naryPr>
                <m:chr m:val="∏"/>
                <m:limLoc m:val="undOvr"/>
                <m:ctrlPr>
                  <w:rPr>
                    <w:rFonts w:ascii="Cambria Math" w:hAnsi="Cambria Math"/>
                    <w:i/>
                    <w:sz w:val="20"/>
                  </w:rPr>
                </m:ctrlPr>
              </m:naryPr>
              <m:sub>
                <m:r>
                  <w:rPr>
                    <w:rFonts w:ascii="Cambria Math" w:hAnsi="Cambria Math"/>
                    <w:sz w:val="20"/>
                  </w:rPr>
                  <m:t>i=1</m:t>
                </m:r>
              </m:sub>
              <m:sup>
                <m:sSub>
                  <m:sSubPr>
                    <m:ctrlPr>
                      <w:rPr>
                        <w:rFonts w:ascii="Cambria Math" w:hAnsi="Cambria Math"/>
                        <w:i/>
                        <w:sz w:val="20"/>
                      </w:rPr>
                    </m:ctrlPr>
                  </m:sSubPr>
                  <m:e>
                    <m:r>
                      <w:rPr>
                        <w:rFonts w:ascii="Cambria Math" w:hAnsi="Cambria Math"/>
                        <w:sz w:val="20"/>
                      </w:rPr>
                      <m:t>j</m:t>
                    </m:r>
                  </m:e>
                  <m:sub>
                    <m:r>
                      <w:rPr>
                        <w:rFonts w:ascii="Cambria Math" w:hAnsi="Cambria Math"/>
                        <w:sz w:val="20"/>
                      </w:rPr>
                      <m:t>0</m:t>
                    </m:r>
                  </m:sub>
                </m:sSub>
              </m:sup>
              <m:e>
                <m:d>
                  <m:dPr>
                    <m:ctrlPr>
                      <w:rPr>
                        <w:rFonts w:ascii="Cambria Math" w:hAnsi="Cambria Math"/>
                        <w:i/>
                        <w:sz w:val="20"/>
                      </w:rPr>
                    </m:ctrlPr>
                  </m:dPr>
                  <m:e>
                    <m:r>
                      <w:rPr>
                        <w:rFonts w:ascii="Cambria Math" w:hAnsi="Cambria Math"/>
                        <w:sz w:val="20"/>
                      </w:rPr>
                      <m:t>1+</m:t>
                    </m:r>
                    <m:f>
                      <m:fPr>
                        <m:ctrlPr>
                          <w:rPr>
                            <w:rFonts w:ascii="Cambria Math" w:hAnsi="Cambria Math"/>
                            <w:i/>
                            <w:sz w:val="20"/>
                          </w:rPr>
                        </m:ctrlPr>
                      </m:fPr>
                      <m:num>
                        <m:sSub>
                          <m:sSubPr>
                            <m:ctrlPr>
                              <w:rPr>
                                <w:rFonts w:ascii="Cambria Math" w:hAnsi="Cambria Math"/>
                                <w:i/>
                                <w:sz w:val="20"/>
                              </w:rPr>
                            </m:ctrlPr>
                          </m:sSubPr>
                          <m:e>
                            <m:r>
                              <w:rPr>
                                <w:rFonts w:ascii="Cambria Math" w:hAnsi="Cambria Math"/>
                                <w:sz w:val="20"/>
                              </w:rPr>
                              <m:t>CORRA</m:t>
                            </m:r>
                          </m:e>
                          <m:sub>
                            <m:r>
                              <w:rPr>
                                <w:rFonts w:ascii="Cambria Math" w:hAnsi="Cambria Math"/>
                                <w:sz w:val="20"/>
                              </w:rPr>
                              <m:t>i</m:t>
                            </m:r>
                          </m:sub>
                        </m:sSub>
                        <m:r>
                          <w:rPr>
                            <w:rFonts w:ascii="Cambria Math" w:hAnsi="Cambria Math"/>
                            <w:sz w:val="20"/>
                          </w:rPr>
                          <m:t>×</m:t>
                        </m:r>
                        <m:sSub>
                          <m:sSubPr>
                            <m:ctrlPr>
                              <w:rPr>
                                <w:rFonts w:ascii="Cambria Math" w:hAnsi="Cambria Math"/>
                                <w:i/>
                                <w:sz w:val="20"/>
                              </w:rPr>
                            </m:ctrlPr>
                          </m:sSubPr>
                          <m:e>
                            <m:r>
                              <w:rPr>
                                <w:rFonts w:ascii="Cambria Math" w:hAnsi="Cambria Math"/>
                                <w:sz w:val="20"/>
                              </w:rPr>
                              <m:t>n</m:t>
                            </m:r>
                          </m:e>
                          <m:sub>
                            <m:r>
                              <w:rPr>
                                <w:rFonts w:ascii="Cambria Math" w:hAnsi="Cambria Math"/>
                                <w:sz w:val="20"/>
                              </w:rPr>
                              <m:t>i</m:t>
                            </m:r>
                          </m:sub>
                        </m:sSub>
                      </m:num>
                      <m:den>
                        <m:r>
                          <w:rPr>
                            <w:rFonts w:ascii="Cambria Math" w:hAnsi="Cambria Math"/>
                            <w:sz w:val="20"/>
                          </w:rPr>
                          <m:t>365</m:t>
                        </m:r>
                      </m:den>
                    </m:f>
                  </m:e>
                </m:d>
              </m:e>
            </m:nary>
            <m:r>
              <w:rPr>
                <w:rFonts w:ascii="Cambria Math" w:hAnsi="Cambria Math"/>
                <w:sz w:val="20"/>
              </w:rPr>
              <m:t>-1</m:t>
            </m:r>
          </m:e>
        </m:d>
        <m:r>
          <w:rPr>
            <w:rFonts w:ascii="Cambria Math" w:hAnsi="Cambria Math"/>
            <w:sz w:val="20"/>
          </w:rPr>
          <m:t>×</m:t>
        </m:r>
        <m:f>
          <m:fPr>
            <m:ctrlPr>
              <w:rPr>
                <w:rFonts w:ascii="Cambria Math" w:hAnsi="Cambria Math"/>
                <w:i/>
                <w:sz w:val="20"/>
              </w:rPr>
            </m:ctrlPr>
          </m:fPr>
          <m:num>
            <m:r>
              <w:rPr>
                <w:rFonts w:ascii="Cambria Math" w:hAnsi="Cambria Math"/>
                <w:sz w:val="20"/>
              </w:rPr>
              <m:t>365</m:t>
            </m:r>
          </m:num>
          <m:den>
            <m:r>
              <w:rPr>
                <w:rFonts w:ascii="Cambria Math" w:hAnsi="Cambria Math"/>
                <w:sz w:val="20"/>
              </w:rPr>
              <m:t>j</m:t>
            </m:r>
          </m:den>
        </m:f>
      </m:oMath>
    </w:p>
    <w:p w14:paraId="2A651D13" w14:textId="77777777" w:rsidR="00DD6ECD" w:rsidRPr="009D03DC" w:rsidRDefault="00AB0CFF" w:rsidP="00DD6ECD">
      <w:pPr>
        <w:pStyle w:val="OHHpara"/>
        <w:spacing w:after="0"/>
        <w:rPr>
          <w:sz w:val="20"/>
        </w:rPr>
      </w:pPr>
      <w:bookmarkStart w:id="71" w:name="lt_pId070"/>
      <w:r w:rsidRPr="009D03DC">
        <w:rPr>
          <w:sz w:val="20"/>
        </w:rPr>
        <w:t>où :</w:t>
      </w:r>
      <w:bookmarkEnd w:id="71"/>
    </w:p>
    <w:p w14:paraId="04193DD8" w14:textId="77777777" w:rsidR="00DD6ECD" w:rsidRPr="009D03DC" w:rsidRDefault="00AB0CFF" w:rsidP="00DD6ECD">
      <w:pPr>
        <w:pStyle w:val="OHHpara"/>
        <w:numPr>
          <w:ilvl w:val="0"/>
          <w:numId w:val="16"/>
        </w:numPr>
        <w:spacing w:after="0"/>
        <w:rPr>
          <w:sz w:val="20"/>
        </w:rPr>
      </w:pPr>
      <w:bookmarkStart w:id="72" w:name="lt_pId071"/>
      <w:r w:rsidRPr="009D03DC">
        <w:rPr>
          <w:sz w:val="20"/>
        </w:rPr>
        <w:t>« j</w:t>
      </w:r>
      <w:r w:rsidRPr="009D03DC">
        <w:rPr>
          <w:sz w:val="20"/>
          <w:vertAlign w:val="subscript"/>
        </w:rPr>
        <w:t>0</w:t>
      </w:r>
      <w:r w:rsidRPr="009D03DC">
        <w:rPr>
          <w:sz w:val="20"/>
        </w:rPr>
        <w:t xml:space="preserve"> » désigne, pour toute </w:t>
      </w:r>
      <w:r w:rsidR="00037436" w:rsidRPr="009D03DC">
        <w:rPr>
          <w:sz w:val="20"/>
        </w:rPr>
        <w:t>période d’observation</w:t>
      </w:r>
      <w:r w:rsidRPr="009D03DC">
        <w:rPr>
          <w:sz w:val="20"/>
        </w:rPr>
        <w:t>, le nombre de jours ouvrables applicables</w:t>
      </w:r>
      <w:r w:rsidR="00037436" w:rsidRPr="009D03DC">
        <w:rPr>
          <w:sz w:val="20"/>
        </w:rPr>
        <w:t xml:space="preserve"> signifie que le taux applicable est pondéré en fonction du nombre de jours ouvrables pour lesquels ce taux s’applique durant la période d’observation plutôt qu’en fonction du nombre de jours dans la période de calcul des intérêts</w:t>
      </w:r>
      <w:r w:rsidR="00405EF2" w:rsidRPr="009D03DC">
        <w:rPr>
          <w:sz w:val="20"/>
        </w:rPr>
        <w:t>;</w:t>
      </w:r>
      <w:bookmarkEnd w:id="72"/>
    </w:p>
    <w:p w14:paraId="57663613" w14:textId="77777777" w:rsidR="00DD6ECD" w:rsidRPr="009D03DC" w:rsidRDefault="00AB0CFF" w:rsidP="00DD6ECD">
      <w:pPr>
        <w:pStyle w:val="OHHpara"/>
        <w:numPr>
          <w:ilvl w:val="0"/>
          <w:numId w:val="16"/>
        </w:numPr>
        <w:spacing w:after="0"/>
        <w:rPr>
          <w:sz w:val="20"/>
        </w:rPr>
      </w:pPr>
      <w:bookmarkStart w:id="73" w:name="lt_pId072"/>
      <w:r w:rsidRPr="009D03DC">
        <w:rPr>
          <w:sz w:val="20"/>
        </w:rPr>
        <w:t>«</w:t>
      </w:r>
      <w:r w:rsidR="00964C15" w:rsidRPr="009D03DC">
        <w:rPr>
          <w:sz w:val="20"/>
        </w:rPr>
        <w:t> </w:t>
      </w:r>
      <w:r w:rsidRPr="009D03DC">
        <w:rPr>
          <w:sz w:val="20"/>
        </w:rPr>
        <w:t>i</w:t>
      </w:r>
      <w:r w:rsidR="00964C15" w:rsidRPr="009D03DC">
        <w:rPr>
          <w:sz w:val="20"/>
        </w:rPr>
        <w:t> </w:t>
      </w:r>
      <w:r w:rsidRPr="009D03DC">
        <w:rPr>
          <w:sz w:val="20"/>
        </w:rPr>
        <w:t xml:space="preserve">» est une série de nombres entiers </w:t>
      </w:r>
      <w:r w:rsidR="00405EF2" w:rsidRPr="009D03DC">
        <w:rPr>
          <w:sz w:val="20"/>
        </w:rPr>
        <w:t xml:space="preserve">allant </w:t>
      </w:r>
      <w:r w:rsidRPr="009D03DC">
        <w:rPr>
          <w:sz w:val="20"/>
        </w:rPr>
        <w:t xml:space="preserve">de un à </w:t>
      </w:r>
      <w:r w:rsidR="00405EF2" w:rsidRPr="009D03DC">
        <w:rPr>
          <w:sz w:val="20"/>
        </w:rPr>
        <w:t>j</w:t>
      </w:r>
      <w:r w:rsidRPr="009D03DC">
        <w:rPr>
          <w:sz w:val="20"/>
          <w:vertAlign w:val="subscript"/>
        </w:rPr>
        <w:t>0</w:t>
      </w:r>
      <w:r w:rsidRPr="009D03DC">
        <w:rPr>
          <w:sz w:val="20"/>
        </w:rPr>
        <w:t xml:space="preserve">, chacun représentant </w:t>
      </w:r>
      <w:r w:rsidR="00405EF2" w:rsidRPr="009D03DC">
        <w:rPr>
          <w:sz w:val="20"/>
        </w:rPr>
        <w:t>un</w:t>
      </w:r>
      <w:r w:rsidRPr="009D03DC">
        <w:rPr>
          <w:sz w:val="20"/>
        </w:rPr>
        <w:t xml:space="preserve"> jour ouvrable pertinent</w:t>
      </w:r>
      <w:r w:rsidR="00405EF2" w:rsidRPr="009D03DC">
        <w:rPr>
          <w:sz w:val="20"/>
        </w:rPr>
        <w:t>,</w:t>
      </w:r>
      <w:r w:rsidRPr="009D03DC">
        <w:rPr>
          <w:sz w:val="20"/>
        </w:rPr>
        <w:t xml:space="preserve"> </w:t>
      </w:r>
      <w:r w:rsidR="00405EF2" w:rsidRPr="009D03DC">
        <w:rPr>
          <w:sz w:val="20"/>
        </w:rPr>
        <w:t>le</w:t>
      </w:r>
      <w:r w:rsidRPr="009D03DC">
        <w:rPr>
          <w:sz w:val="20"/>
        </w:rPr>
        <w:t xml:space="preserve"> premier jour ouvrable de la période d’observation concernée</w:t>
      </w:r>
      <w:r w:rsidR="00405EF2" w:rsidRPr="009D03DC">
        <w:rPr>
          <w:sz w:val="20"/>
        </w:rPr>
        <w:t xml:space="preserve"> étant inclus</w:t>
      </w:r>
      <w:r w:rsidR="00DE6D4B" w:rsidRPr="009D03DC">
        <w:rPr>
          <w:sz w:val="20"/>
        </w:rPr>
        <w:t xml:space="preserve"> dans l’ordre chronologique</w:t>
      </w:r>
      <w:r w:rsidRPr="009D03DC">
        <w:rPr>
          <w:sz w:val="20"/>
        </w:rPr>
        <w:t>;</w:t>
      </w:r>
      <w:bookmarkEnd w:id="73"/>
      <w:r w:rsidRPr="009D03DC">
        <w:rPr>
          <w:sz w:val="20"/>
        </w:rPr>
        <w:t xml:space="preserve"> </w:t>
      </w:r>
    </w:p>
    <w:p w14:paraId="07354FFF" w14:textId="553FE7DC" w:rsidR="00DD6ECD" w:rsidRPr="009D03DC" w:rsidRDefault="00AB0CFF" w:rsidP="00DD6ECD">
      <w:pPr>
        <w:pStyle w:val="OHHpara"/>
        <w:numPr>
          <w:ilvl w:val="0"/>
          <w:numId w:val="16"/>
        </w:numPr>
        <w:spacing w:after="0"/>
        <w:rPr>
          <w:sz w:val="20"/>
        </w:rPr>
      </w:pPr>
      <w:bookmarkStart w:id="74" w:name="lt_pId073"/>
      <w:r w:rsidRPr="009D03DC">
        <w:rPr>
          <w:sz w:val="20"/>
        </w:rPr>
        <w:t>«</w:t>
      </w:r>
      <w:r w:rsidR="00DE6D4B" w:rsidRPr="009D03DC">
        <w:rPr>
          <w:sz w:val="20"/>
        </w:rPr>
        <w:t> </w:t>
      </w:r>
      <w:r w:rsidRPr="009D03DC">
        <w:rPr>
          <w:sz w:val="20"/>
        </w:rPr>
        <w:t>CORRA</w:t>
      </w:r>
      <w:r w:rsidRPr="006A1ED5">
        <w:rPr>
          <w:sz w:val="20"/>
          <w:vertAlign w:val="subscript"/>
        </w:rPr>
        <w:t>i</w:t>
      </w:r>
      <w:r w:rsidR="00DE6D4B" w:rsidRPr="009D03DC">
        <w:rPr>
          <w:sz w:val="20"/>
        </w:rPr>
        <w:t> </w:t>
      </w:r>
      <w:r w:rsidRPr="009D03DC">
        <w:rPr>
          <w:sz w:val="20"/>
        </w:rPr>
        <w:t xml:space="preserve"> » désigne, à l’égard de tout jour ouvrable «</w:t>
      </w:r>
      <w:r w:rsidR="00DE6D4B" w:rsidRPr="009D03DC">
        <w:rPr>
          <w:sz w:val="20"/>
        </w:rPr>
        <w:t> </w:t>
      </w:r>
      <w:r w:rsidRPr="009D03DC">
        <w:rPr>
          <w:sz w:val="20"/>
        </w:rPr>
        <w:t>i</w:t>
      </w:r>
      <w:r w:rsidR="00DE6D4B" w:rsidRPr="009D03DC">
        <w:rPr>
          <w:sz w:val="20"/>
        </w:rPr>
        <w:t> </w:t>
      </w:r>
      <w:r w:rsidRPr="009D03DC">
        <w:rPr>
          <w:sz w:val="20"/>
        </w:rPr>
        <w:t xml:space="preserve">» de la période d’observation pertinente, un taux de référence égal au taux </w:t>
      </w:r>
      <w:r w:rsidR="0027725E" w:rsidRPr="009D03DC">
        <w:rPr>
          <w:sz w:val="20"/>
        </w:rPr>
        <w:t xml:space="preserve">CORRA </w:t>
      </w:r>
      <w:r w:rsidRPr="009D03DC">
        <w:rPr>
          <w:sz w:val="20"/>
        </w:rPr>
        <w:t>quotidien publié par la Banque du Canada, administrateur de ce taux</w:t>
      </w:r>
      <w:r w:rsidR="006666ED">
        <w:rPr>
          <w:sz w:val="20"/>
        </w:rPr>
        <w:t>,</w:t>
      </w:r>
      <w:r w:rsidRPr="009D03DC">
        <w:rPr>
          <w:sz w:val="20"/>
        </w:rPr>
        <w:t xml:space="preserve"> sur le site Web de la Banque du Canada</w:t>
      </w:r>
      <w:r w:rsidR="0027725E" w:rsidRPr="009D03DC">
        <w:rPr>
          <w:sz w:val="20"/>
        </w:rPr>
        <w:t xml:space="preserve"> (ou publié par tout nouvel administrateur du taux sur son propre site</w:t>
      </w:r>
      <w:r w:rsidRPr="009D03DC">
        <w:rPr>
          <w:sz w:val="20"/>
        </w:rPr>
        <w:t xml:space="preserve"> Web</w:t>
      </w:r>
      <w:r w:rsidR="0027725E" w:rsidRPr="009D03DC">
        <w:rPr>
          <w:sz w:val="20"/>
        </w:rPr>
        <w:t>)</w:t>
      </w:r>
      <w:r w:rsidRPr="009D03DC">
        <w:rPr>
          <w:sz w:val="20"/>
        </w:rPr>
        <w:t xml:space="preserve"> le jour ouvrable suivant, </w:t>
      </w:r>
      <w:r w:rsidR="0027725E" w:rsidRPr="009D03DC">
        <w:rPr>
          <w:sz w:val="20"/>
        </w:rPr>
        <w:t>à savoir</w:t>
      </w:r>
      <w:r w:rsidRPr="009D03DC">
        <w:rPr>
          <w:sz w:val="20"/>
        </w:rPr>
        <w:t xml:space="preserve"> le jour ouvrable « i » + 1;</w:t>
      </w:r>
      <w:bookmarkEnd w:id="74"/>
    </w:p>
    <w:p w14:paraId="234A9BFE" w14:textId="77777777" w:rsidR="00DD6ECD" w:rsidRPr="009D03DC" w:rsidRDefault="00AB0CFF" w:rsidP="00DD6ECD">
      <w:pPr>
        <w:pStyle w:val="OHHpara"/>
        <w:numPr>
          <w:ilvl w:val="0"/>
          <w:numId w:val="16"/>
        </w:numPr>
        <w:spacing w:after="0"/>
        <w:rPr>
          <w:sz w:val="20"/>
        </w:rPr>
      </w:pPr>
      <w:bookmarkStart w:id="75" w:name="lt_pId074"/>
      <w:r w:rsidRPr="009D03DC">
        <w:rPr>
          <w:sz w:val="20"/>
        </w:rPr>
        <w:t>«</w:t>
      </w:r>
      <w:r w:rsidR="00F11A99" w:rsidRPr="009D03DC">
        <w:rPr>
          <w:sz w:val="20"/>
        </w:rPr>
        <w:t> </w:t>
      </w:r>
      <w:r w:rsidRPr="009D03DC">
        <w:rPr>
          <w:sz w:val="20"/>
        </w:rPr>
        <w:t>n</w:t>
      </w:r>
      <w:r w:rsidRPr="009D03DC">
        <w:rPr>
          <w:sz w:val="20"/>
          <w:vertAlign w:val="subscript"/>
        </w:rPr>
        <w:t>i</w:t>
      </w:r>
      <w:r w:rsidR="00F11A99" w:rsidRPr="009D03DC">
        <w:rPr>
          <w:sz w:val="20"/>
          <w:vertAlign w:val="subscript"/>
        </w:rPr>
        <w:t xml:space="preserve"> </w:t>
      </w:r>
      <w:r w:rsidRPr="009D03DC">
        <w:rPr>
          <w:sz w:val="20"/>
        </w:rPr>
        <w:t xml:space="preserve">» </w:t>
      </w:r>
      <w:r w:rsidR="00F11A99" w:rsidRPr="009D03DC">
        <w:rPr>
          <w:sz w:val="20"/>
        </w:rPr>
        <w:t xml:space="preserve">désigne, pour </w:t>
      </w:r>
      <w:r w:rsidRPr="009D03DC">
        <w:rPr>
          <w:sz w:val="20"/>
        </w:rPr>
        <w:t xml:space="preserve">tout </w:t>
      </w:r>
      <w:r w:rsidR="00F11A99" w:rsidRPr="009D03DC">
        <w:rPr>
          <w:sz w:val="20"/>
        </w:rPr>
        <w:t>j</w:t>
      </w:r>
      <w:r w:rsidRPr="009D03DC">
        <w:rPr>
          <w:sz w:val="20"/>
        </w:rPr>
        <w:t>our ouvrable «</w:t>
      </w:r>
      <w:r w:rsidR="00F11A99" w:rsidRPr="009D03DC">
        <w:rPr>
          <w:sz w:val="20"/>
        </w:rPr>
        <w:t> </w:t>
      </w:r>
      <w:r w:rsidRPr="009D03DC">
        <w:rPr>
          <w:sz w:val="20"/>
        </w:rPr>
        <w:t>i</w:t>
      </w:r>
      <w:r w:rsidR="00F11A99" w:rsidRPr="009D03DC">
        <w:rPr>
          <w:sz w:val="20"/>
        </w:rPr>
        <w:t> </w:t>
      </w:r>
      <w:r w:rsidRPr="009D03DC">
        <w:rPr>
          <w:sz w:val="20"/>
        </w:rPr>
        <w:t xml:space="preserve">» de la </w:t>
      </w:r>
      <w:r w:rsidR="00F11A99" w:rsidRPr="009D03DC">
        <w:rPr>
          <w:sz w:val="20"/>
        </w:rPr>
        <w:t>p</w:t>
      </w:r>
      <w:r w:rsidRPr="009D03DC">
        <w:rPr>
          <w:sz w:val="20"/>
        </w:rPr>
        <w:t xml:space="preserve">ériode d’observation concernée, le nombre de jours civils écoulés entre ce </w:t>
      </w:r>
      <w:r w:rsidR="00F11A99" w:rsidRPr="009D03DC">
        <w:rPr>
          <w:sz w:val="20"/>
        </w:rPr>
        <w:t>j</w:t>
      </w:r>
      <w:r w:rsidRPr="009D03DC">
        <w:rPr>
          <w:sz w:val="20"/>
        </w:rPr>
        <w:t>our ouvrable «</w:t>
      </w:r>
      <w:r w:rsidR="00F11A99" w:rsidRPr="009D03DC">
        <w:rPr>
          <w:sz w:val="20"/>
        </w:rPr>
        <w:t> </w:t>
      </w:r>
      <w:r w:rsidRPr="009D03DC">
        <w:rPr>
          <w:sz w:val="20"/>
        </w:rPr>
        <w:t>i</w:t>
      </w:r>
      <w:r w:rsidR="00F11A99" w:rsidRPr="009D03DC">
        <w:rPr>
          <w:sz w:val="20"/>
        </w:rPr>
        <w:t> </w:t>
      </w:r>
      <w:r w:rsidRPr="009D03DC">
        <w:rPr>
          <w:sz w:val="20"/>
        </w:rPr>
        <w:t xml:space="preserve">» </w:t>
      </w:r>
      <w:r w:rsidR="00F11A99" w:rsidRPr="009D03DC">
        <w:rPr>
          <w:sz w:val="20"/>
        </w:rPr>
        <w:t xml:space="preserve">(inclusivement) </w:t>
      </w:r>
      <w:r w:rsidRPr="009D03DC">
        <w:rPr>
          <w:sz w:val="20"/>
        </w:rPr>
        <w:t xml:space="preserve">et le </w:t>
      </w:r>
      <w:r w:rsidR="00F11A99" w:rsidRPr="009D03DC">
        <w:rPr>
          <w:sz w:val="20"/>
        </w:rPr>
        <w:t>j</w:t>
      </w:r>
      <w:r w:rsidRPr="009D03DC">
        <w:rPr>
          <w:sz w:val="20"/>
        </w:rPr>
        <w:t>our ouvrable suivant</w:t>
      </w:r>
      <w:r w:rsidR="00F11A99" w:rsidRPr="009D03DC">
        <w:rPr>
          <w:sz w:val="20"/>
        </w:rPr>
        <w:t xml:space="preserve"> (non inclus), à savoir</w:t>
      </w:r>
      <w:r w:rsidRPr="009D03DC">
        <w:rPr>
          <w:sz w:val="20"/>
        </w:rPr>
        <w:t xml:space="preserve"> le </w:t>
      </w:r>
      <w:r w:rsidR="00F11A99" w:rsidRPr="009D03DC">
        <w:rPr>
          <w:sz w:val="20"/>
        </w:rPr>
        <w:t>j</w:t>
      </w:r>
      <w:r w:rsidRPr="009D03DC">
        <w:rPr>
          <w:sz w:val="20"/>
        </w:rPr>
        <w:t>our ouvrable «</w:t>
      </w:r>
      <w:r w:rsidR="00F11A99" w:rsidRPr="009D03DC">
        <w:rPr>
          <w:sz w:val="20"/>
        </w:rPr>
        <w:t> </w:t>
      </w:r>
      <w:r w:rsidRPr="009D03DC">
        <w:rPr>
          <w:sz w:val="20"/>
        </w:rPr>
        <w:t>i</w:t>
      </w:r>
      <w:r w:rsidR="00F11A99" w:rsidRPr="009D03DC">
        <w:rPr>
          <w:sz w:val="20"/>
        </w:rPr>
        <w:t> </w:t>
      </w:r>
      <w:r w:rsidRPr="009D03DC">
        <w:rPr>
          <w:sz w:val="20"/>
        </w:rPr>
        <w:t>» + 1 ;</w:t>
      </w:r>
      <w:bookmarkEnd w:id="75"/>
    </w:p>
    <w:p w14:paraId="004F1527" w14:textId="77777777" w:rsidR="00DD6ECD" w:rsidRPr="009D03DC" w:rsidRDefault="00AB0CFF" w:rsidP="00DD6ECD">
      <w:pPr>
        <w:pStyle w:val="OHHpara"/>
        <w:numPr>
          <w:ilvl w:val="0"/>
          <w:numId w:val="16"/>
        </w:numPr>
        <w:spacing w:after="0"/>
        <w:rPr>
          <w:sz w:val="20"/>
        </w:rPr>
      </w:pPr>
      <w:bookmarkStart w:id="76" w:name="lt_pId075"/>
      <w:r>
        <w:rPr>
          <w:sz w:val="20"/>
        </w:rPr>
        <w:t>« </w:t>
      </w:r>
      <w:r w:rsidR="00F11A99" w:rsidRPr="009D03DC">
        <w:rPr>
          <w:sz w:val="20"/>
        </w:rPr>
        <w:t>j</w:t>
      </w:r>
      <w:r>
        <w:rPr>
          <w:sz w:val="20"/>
        </w:rPr>
        <w:t> » désigne le</w:t>
      </w:r>
      <w:r w:rsidR="00037436" w:rsidRPr="009D03DC">
        <w:rPr>
          <w:sz w:val="20"/>
        </w:rPr>
        <w:t xml:space="preserve"> nombre de jours civils compris dans la période d</w:t>
      </w:r>
      <w:r w:rsidR="00F11A99" w:rsidRPr="009D03DC">
        <w:rPr>
          <w:sz w:val="20"/>
        </w:rPr>
        <w:t>’observation concernée</w:t>
      </w:r>
      <w:bookmarkEnd w:id="76"/>
      <w:r w:rsidR="00F11A99" w:rsidRPr="009D03DC">
        <w:rPr>
          <w:sz w:val="20"/>
        </w:rPr>
        <w:t>.</w:t>
      </w:r>
    </w:p>
    <w:p w14:paraId="74EB1D48" w14:textId="77777777" w:rsidR="00DD6ECD" w:rsidRPr="009D03DC" w:rsidRDefault="00DD6ECD" w:rsidP="00DD6ECD">
      <w:pPr>
        <w:pStyle w:val="OHHpara"/>
        <w:spacing w:after="0"/>
        <w:ind w:left="720"/>
        <w:rPr>
          <w:sz w:val="20"/>
        </w:rPr>
      </w:pPr>
    </w:p>
    <w:p w14:paraId="7ACF4220" w14:textId="77777777" w:rsidR="00E25C8A" w:rsidRPr="009D03DC" w:rsidRDefault="00AB0CFF" w:rsidP="006E7B73">
      <w:pPr>
        <w:pStyle w:val="OHHpara"/>
        <w:keepNext/>
        <w:rPr>
          <w:i/>
          <w:iCs/>
          <w:sz w:val="20"/>
          <w:u w:val="single"/>
        </w:rPr>
      </w:pPr>
      <w:bookmarkStart w:id="77" w:name="lt_pId076"/>
      <w:r w:rsidRPr="009D03DC">
        <w:rPr>
          <w:i/>
          <w:iCs/>
          <w:sz w:val="20"/>
          <w:u w:val="single"/>
        </w:rPr>
        <w:t>Taux CORRA</w:t>
      </w:r>
      <w:bookmarkEnd w:id="77"/>
    </w:p>
    <w:p w14:paraId="7C28AE4C" w14:textId="77777777" w:rsidR="00E25C8A" w:rsidRPr="009D03DC" w:rsidRDefault="00AB0CFF" w:rsidP="006E7B73">
      <w:pPr>
        <w:pStyle w:val="OHHpara"/>
        <w:keepNext/>
        <w:rPr>
          <w:sz w:val="20"/>
        </w:rPr>
      </w:pPr>
      <w:bookmarkStart w:id="78" w:name="lt_pId077"/>
      <w:r w:rsidRPr="009D03DC">
        <w:rPr>
          <w:i/>
          <w:iCs/>
          <w:sz w:val="20"/>
        </w:rPr>
        <w:t>Absence de date d’effet de l’abandon du taux CORRA.</w:t>
      </w:r>
      <w:bookmarkEnd w:id="78"/>
      <w:r w:rsidRPr="009D03DC">
        <w:rPr>
          <w:sz w:val="20"/>
        </w:rPr>
        <w:t xml:space="preserve"> </w:t>
      </w:r>
      <w:bookmarkStart w:id="79" w:name="lt_pId078"/>
      <w:r w:rsidRPr="009D03DC">
        <w:rPr>
          <w:sz w:val="20"/>
        </w:rPr>
        <w:t>Si ni l’administrateur ni les distributeurs autorisés n’ont fourni ou publié le taux CORRA et qu</w:t>
      </w:r>
      <w:r w:rsidR="00F11A99" w:rsidRPr="009D03DC">
        <w:rPr>
          <w:sz w:val="20"/>
        </w:rPr>
        <w:t xml:space="preserve">e la date </w:t>
      </w:r>
      <w:r w:rsidRPr="009D03DC">
        <w:rPr>
          <w:sz w:val="20"/>
        </w:rPr>
        <w:t xml:space="preserve">d’effet de l’abandon du taux </w:t>
      </w:r>
      <w:r w:rsidR="00F11A99" w:rsidRPr="009D03DC">
        <w:rPr>
          <w:sz w:val="20"/>
        </w:rPr>
        <w:t xml:space="preserve">CORRA </w:t>
      </w:r>
      <w:r w:rsidRPr="009D03DC">
        <w:rPr>
          <w:sz w:val="20"/>
        </w:rPr>
        <w:t xml:space="preserve">n’est </w:t>
      </w:r>
      <w:r w:rsidR="00F11A99" w:rsidRPr="009D03DC">
        <w:rPr>
          <w:sz w:val="20"/>
        </w:rPr>
        <w:t xml:space="preserve">pas </w:t>
      </w:r>
      <w:r w:rsidRPr="009D03DC">
        <w:rPr>
          <w:sz w:val="20"/>
        </w:rPr>
        <w:t xml:space="preserve">survenue, alors les mentions du taux CORRA sont, </w:t>
      </w:r>
      <w:r w:rsidR="003F04B6" w:rsidRPr="009D03DC">
        <w:rPr>
          <w:sz w:val="20"/>
        </w:rPr>
        <w:t>lorsqu’elles sont requises</w:t>
      </w:r>
      <w:r w:rsidRPr="009D03DC">
        <w:rPr>
          <w:sz w:val="20"/>
        </w:rPr>
        <w:t xml:space="preserve">, réputées </w:t>
      </w:r>
      <w:r w:rsidR="003F04B6" w:rsidRPr="009D03DC">
        <w:rPr>
          <w:sz w:val="20"/>
        </w:rPr>
        <w:t>se rapporter au tout dernier</w:t>
      </w:r>
      <w:r w:rsidRPr="009D03DC">
        <w:rPr>
          <w:sz w:val="20"/>
        </w:rPr>
        <w:t xml:space="preserve"> taux CORRA fourni ou publié.</w:t>
      </w:r>
      <w:bookmarkEnd w:id="79"/>
    </w:p>
    <w:p w14:paraId="3FB3905F" w14:textId="77777777" w:rsidR="00E25C8A" w:rsidRPr="009D03DC" w:rsidRDefault="00AB0CFF" w:rsidP="00B41505">
      <w:pPr>
        <w:pStyle w:val="OHHpara"/>
        <w:rPr>
          <w:sz w:val="20"/>
        </w:rPr>
      </w:pPr>
      <w:bookmarkStart w:id="80" w:name="lt_pId079"/>
      <w:r w:rsidRPr="009D03DC">
        <w:rPr>
          <w:i/>
          <w:iCs/>
          <w:sz w:val="20"/>
        </w:rPr>
        <w:t>Existence d’une date d’effet de l’abandon du taux CORRA.</w:t>
      </w:r>
      <w:bookmarkEnd w:id="80"/>
      <w:r w:rsidRPr="009D03DC">
        <w:rPr>
          <w:sz w:val="20"/>
        </w:rPr>
        <w:t xml:space="preserve"> </w:t>
      </w:r>
      <w:bookmarkStart w:id="81" w:name="lt_pId080"/>
      <w:r w:rsidR="008C74CB" w:rsidRPr="009D03DC">
        <w:rPr>
          <w:sz w:val="20"/>
        </w:rPr>
        <w:t>Lorsqu</w:t>
      </w:r>
      <w:r w:rsidR="00692743">
        <w:rPr>
          <w:sz w:val="20"/>
        </w:rPr>
        <w:t>’une date d’effet de</w:t>
      </w:r>
      <w:r w:rsidRPr="009D03DC">
        <w:rPr>
          <w:sz w:val="20"/>
        </w:rPr>
        <w:t xml:space="preserve"> l’abandon du taux CORRA</w:t>
      </w:r>
      <w:r w:rsidR="003F04B6" w:rsidRPr="009D03DC">
        <w:rPr>
          <w:sz w:val="20"/>
        </w:rPr>
        <w:t xml:space="preserve"> </w:t>
      </w:r>
      <w:r w:rsidR="00A3233F">
        <w:rPr>
          <w:sz w:val="20"/>
        </w:rPr>
        <w:t>survient</w:t>
      </w:r>
      <w:r w:rsidRPr="009D03DC">
        <w:rPr>
          <w:sz w:val="20"/>
        </w:rPr>
        <w:t xml:space="preserve">, alors le taux </w:t>
      </w:r>
      <w:r w:rsidR="00B33A3C" w:rsidRPr="009D03DC">
        <w:rPr>
          <w:sz w:val="20"/>
        </w:rPr>
        <w:t xml:space="preserve">applicable à la date de détermination </w:t>
      </w:r>
      <w:r w:rsidR="003C0BAD" w:rsidRPr="009D03DC">
        <w:rPr>
          <w:sz w:val="20"/>
        </w:rPr>
        <w:t xml:space="preserve">des intérêts </w:t>
      </w:r>
      <w:r w:rsidR="007450E1" w:rsidRPr="009D03DC">
        <w:rPr>
          <w:sz w:val="20"/>
        </w:rPr>
        <w:t>afférente à</w:t>
      </w:r>
      <w:r w:rsidRPr="009D03DC">
        <w:rPr>
          <w:sz w:val="20"/>
        </w:rPr>
        <w:t xml:space="preserve"> </w:t>
      </w:r>
      <w:r w:rsidR="007450E1" w:rsidRPr="009D03DC">
        <w:rPr>
          <w:sz w:val="20"/>
        </w:rPr>
        <w:t>la</w:t>
      </w:r>
      <w:r w:rsidRPr="009D03DC">
        <w:rPr>
          <w:sz w:val="20"/>
        </w:rPr>
        <w:t xml:space="preserve"> période de calcul des intérêts pertinente</w:t>
      </w:r>
      <w:r w:rsidR="008C74CB" w:rsidRPr="009D03DC">
        <w:rPr>
          <w:sz w:val="20"/>
        </w:rPr>
        <w:t>,</w:t>
      </w:r>
      <w:r w:rsidRPr="009D03DC">
        <w:rPr>
          <w:sz w:val="20"/>
        </w:rPr>
        <w:t xml:space="preserve"> pour laquelle</w:t>
      </w:r>
      <w:r w:rsidR="007450E1" w:rsidRPr="009D03DC">
        <w:rPr>
          <w:sz w:val="20"/>
        </w:rPr>
        <w:t xml:space="preserve"> la date de fixation du taux CORRA coïncide avec la date d’effet de l’abandon du taux CORRA ou suit cette date</w:t>
      </w:r>
      <w:r w:rsidR="008C74CB" w:rsidRPr="009D03DC">
        <w:rPr>
          <w:sz w:val="20"/>
        </w:rPr>
        <w:t>,</w:t>
      </w:r>
      <w:r w:rsidR="007450E1" w:rsidRPr="009D03DC">
        <w:rPr>
          <w:sz w:val="20"/>
        </w:rPr>
        <w:t xml:space="preserve"> est le taux recommandé pour le dollar canadien, auquel l’agent de calcul doit appliquer </w:t>
      </w:r>
      <w:r w:rsidR="008C74CB" w:rsidRPr="009D03DC">
        <w:rPr>
          <w:sz w:val="20"/>
        </w:rPr>
        <w:t>un écart</w:t>
      </w:r>
      <w:r w:rsidR="007450E1" w:rsidRPr="009D03DC">
        <w:rPr>
          <w:sz w:val="20"/>
        </w:rPr>
        <w:t xml:space="preserve"> et y apporter les ajustements nécessaires pour tenir compte de toute différence découlant de la structure par terme ou des échéances entre </w:t>
      </w:r>
      <w:r w:rsidR="00D74185" w:rsidRPr="009D03DC">
        <w:rPr>
          <w:sz w:val="20"/>
        </w:rPr>
        <w:t>le taux recommandé pour le dollar canadien</w:t>
      </w:r>
      <w:r w:rsidR="008C74CB" w:rsidRPr="009D03DC">
        <w:rPr>
          <w:sz w:val="20"/>
        </w:rPr>
        <w:t xml:space="preserve"> et</w:t>
      </w:r>
      <w:r w:rsidR="007450E1" w:rsidRPr="009D03DC">
        <w:rPr>
          <w:sz w:val="20"/>
        </w:rPr>
        <w:t xml:space="preserve"> le taux CORRA</w:t>
      </w:r>
      <w:r w:rsidR="008C74CB" w:rsidRPr="009D03DC">
        <w:rPr>
          <w:sz w:val="20"/>
        </w:rPr>
        <w:t>, s’il y a lieu.</w:t>
      </w:r>
      <w:bookmarkEnd w:id="81"/>
    </w:p>
    <w:p w14:paraId="66B6629A" w14:textId="77777777" w:rsidR="00E25C8A" w:rsidRPr="009D03DC" w:rsidRDefault="00AB0CFF" w:rsidP="00B41505">
      <w:pPr>
        <w:pStyle w:val="OHHpara"/>
        <w:rPr>
          <w:sz w:val="20"/>
        </w:rPr>
      </w:pPr>
      <w:bookmarkStart w:id="82" w:name="lt_pId081"/>
      <w:r w:rsidRPr="009D03DC">
        <w:rPr>
          <w:i/>
          <w:iCs/>
          <w:sz w:val="20"/>
          <w:u w:val="single"/>
        </w:rPr>
        <w:t>Taux recommandé pour le dollar canadien</w:t>
      </w:r>
      <w:bookmarkEnd w:id="82"/>
    </w:p>
    <w:p w14:paraId="7DF1A2D4" w14:textId="77777777" w:rsidR="00E25C8A" w:rsidRPr="009D03DC" w:rsidRDefault="00AB0CFF" w:rsidP="00B41505">
      <w:pPr>
        <w:pStyle w:val="OHHpara"/>
        <w:rPr>
          <w:sz w:val="20"/>
        </w:rPr>
      </w:pPr>
      <w:bookmarkStart w:id="83" w:name="lt_pId082"/>
      <w:r w:rsidRPr="009D03DC">
        <w:rPr>
          <w:i/>
          <w:iCs/>
          <w:sz w:val="20"/>
        </w:rPr>
        <w:lastRenderedPageBreak/>
        <w:t>Absence de date d’effet de l’abandon du taux recommandé pour le dollar canadien.</w:t>
      </w:r>
      <w:bookmarkEnd w:id="83"/>
      <w:r w:rsidRPr="009D03DC">
        <w:rPr>
          <w:sz w:val="20"/>
        </w:rPr>
        <w:t xml:space="preserve"> </w:t>
      </w:r>
      <w:bookmarkStart w:id="84" w:name="lt_pId083"/>
      <w:r w:rsidRPr="009D03DC">
        <w:rPr>
          <w:sz w:val="20"/>
        </w:rPr>
        <w:t xml:space="preserve">S’il existe un taux recommandé pour le dollar canadien </w:t>
      </w:r>
      <w:r w:rsidR="00D10ED5" w:rsidRPr="009D03DC">
        <w:rPr>
          <w:sz w:val="20"/>
        </w:rPr>
        <w:t xml:space="preserve">entré en vigueur </w:t>
      </w:r>
      <w:r w:rsidRPr="009D03DC">
        <w:rPr>
          <w:sz w:val="20"/>
        </w:rPr>
        <w:t xml:space="preserve">avant la fin du premier </w:t>
      </w:r>
      <w:r w:rsidR="00D10ED5" w:rsidRPr="009D03DC">
        <w:rPr>
          <w:sz w:val="20"/>
        </w:rPr>
        <w:t>j</w:t>
      </w:r>
      <w:r w:rsidRPr="009D03DC">
        <w:rPr>
          <w:sz w:val="20"/>
        </w:rPr>
        <w:t>our ouvrable</w:t>
      </w:r>
      <w:r w:rsidR="00D10ED5" w:rsidRPr="009D03DC">
        <w:rPr>
          <w:sz w:val="20"/>
        </w:rPr>
        <w:t xml:space="preserve"> </w:t>
      </w:r>
      <w:r w:rsidRPr="009D03DC">
        <w:rPr>
          <w:sz w:val="20"/>
        </w:rPr>
        <w:t>suivant la date d’effet de l’abandon du taux CORRA, mais</w:t>
      </w:r>
      <w:r w:rsidR="00D10ED5" w:rsidRPr="009D03DC">
        <w:rPr>
          <w:sz w:val="20"/>
        </w:rPr>
        <w:t xml:space="preserve"> que</w:t>
      </w:r>
      <w:r w:rsidRPr="009D03DC">
        <w:rPr>
          <w:sz w:val="20"/>
        </w:rPr>
        <w:t xml:space="preserve"> ni l’administrateur ni les distributeurs autorisés n’ont fourni ou publié le taux recommandé pour le dollar canadien et </w:t>
      </w:r>
      <w:r w:rsidR="00D10ED5" w:rsidRPr="009D03DC">
        <w:rPr>
          <w:sz w:val="20"/>
        </w:rPr>
        <w:t>qu</w:t>
      </w:r>
      <w:r w:rsidR="001A39E4">
        <w:rPr>
          <w:sz w:val="20"/>
        </w:rPr>
        <w:t>’aucune date d’effet d</w:t>
      </w:r>
      <w:r w:rsidR="00D10ED5" w:rsidRPr="009D03DC">
        <w:rPr>
          <w:sz w:val="20"/>
        </w:rPr>
        <w:t xml:space="preserve">e </w:t>
      </w:r>
      <w:r w:rsidRPr="009D03DC">
        <w:rPr>
          <w:sz w:val="20"/>
        </w:rPr>
        <w:t xml:space="preserve">l’abandon du taux </w:t>
      </w:r>
      <w:r w:rsidR="00D10ED5" w:rsidRPr="009D03DC">
        <w:rPr>
          <w:sz w:val="20"/>
        </w:rPr>
        <w:t>recommandé pour le dollar canadien n’</w:t>
      </w:r>
      <w:r w:rsidR="001A39E4">
        <w:rPr>
          <w:sz w:val="20"/>
        </w:rPr>
        <w:t>est survenue</w:t>
      </w:r>
      <w:r w:rsidR="00D10ED5" w:rsidRPr="009D03DC">
        <w:rPr>
          <w:sz w:val="20"/>
        </w:rPr>
        <w:t>, alors</w:t>
      </w:r>
      <w:r w:rsidRPr="009D03DC">
        <w:rPr>
          <w:sz w:val="20"/>
        </w:rPr>
        <w:t xml:space="preserve"> les mentions du taux recommandé pour le dollar canadien sont, pour tous les jours où ce taux est requis, réputées </w:t>
      </w:r>
      <w:r w:rsidR="00D10ED5" w:rsidRPr="009D03DC">
        <w:rPr>
          <w:sz w:val="20"/>
        </w:rPr>
        <w:t>se rapporter au tout dernier</w:t>
      </w:r>
      <w:r w:rsidRPr="009D03DC">
        <w:rPr>
          <w:sz w:val="20"/>
        </w:rPr>
        <w:t xml:space="preserve"> taux recommandé pour le dollar canadien </w:t>
      </w:r>
      <w:r w:rsidR="00D10ED5" w:rsidRPr="009D03DC">
        <w:rPr>
          <w:sz w:val="20"/>
        </w:rPr>
        <w:t xml:space="preserve">qui a été </w:t>
      </w:r>
      <w:r w:rsidRPr="009D03DC">
        <w:rPr>
          <w:sz w:val="20"/>
        </w:rPr>
        <w:t>fourni ou publié.</w:t>
      </w:r>
      <w:bookmarkEnd w:id="84"/>
    </w:p>
    <w:p w14:paraId="3A00AD01" w14:textId="77777777" w:rsidR="00EE19F4" w:rsidRPr="009D03DC" w:rsidRDefault="00AB0CFF" w:rsidP="00B41505">
      <w:pPr>
        <w:pStyle w:val="OHHpara"/>
        <w:rPr>
          <w:sz w:val="20"/>
        </w:rPr>
      </w:pPr>
      <w:bookmarkStart w:id="85" w:name="lt_pId084"/>
      <w:r w:rsidRPr="009D03DC">
        <w:rPr>
          <w:i/>
          <w:iCs/>
          <w:sz w:val="20"/>
        </w:rPr>
        <w:t xml:space="preserve">Absence de taux recommandé pour le dollar canadien </w:t>
      </w:r>
      <w:r w:rsidR="00D10ED5" w:rsidRPr="009D03DC">
        <w:rPr>
          <w:i/>
          <w:iCs/>
          <w:sz w:val="20"/>
        </w:rPr>
        <w:t>ou</w:t>
      </w:r>
      <w:r w:rsidRPr="009D03DC">
        <w:rPr>
          <w:i/>
          <w:iCs/>
          <w:sz w:val="20"/>
        </w:rPr>
        <w:t xml:space="preserve"> d’une date d’effet de l’abandon du taux recommandé pour le dollar canadien.</w:t>
      </w:r>
      <w:bookmarkEnd w:id="85"/>
      <w:r w:rsidRPr="009D03DC">
        <w:rPr>
          <w:sz w:val="20"/>
        </w:rPr>
        <w:t xml:space="preserve"> </w:t>
      </w:r>
      <w:bookmarkStart w:id="86" w:name="lt_pId085"/>
      <w:r w:rsidRPr="009D03DC">
        <w:rPr>
          <w:sz w:val="20"/>
        </w:rPr>
        <w:t xml:space="preserve">S’il n’existe pas de taux recommandé pour le dollar canadien </w:t>
      </w:r>
      <w:r w:rsidR="00D10ED5" w:rsidRPr="009D03DC">
        <w:rPr>
          <w:sz w:val="20"/>
        </w:rPr>
        <w:t xml:space="preserve">en vigueur </w:t>
      </w:r>
      <w:r w:rsidRPr="009D03DC">
        <w:rPr>
          <w:sz w:val="20"/>
        </w:rPr>
        <w:t xml:space="preserve">avant la fin du premier </w:t>
      </w:r>
      <w:r w:rsidR="00D10ED5" w:rsidRPr="009D03DC">
        <w:rPr>
          <w:sz w:val="20"/>
        </w:rPr>
        <w:t>jour ouvrable</w:t>
      </w:r>
      <w:r w:rsidRPr="009D03DC">
        <w:rPr>
          <w:sz w:val="20"/>
        </w:rPr>
        <w:t xml:space="preserve"> suivant la date d’effet de l’abandon du taux CORRA (ou s</w:t>
      </w:r>
      <w:r w:rsidR="002D01DA" w:rsidRPr="009D03DC">
        <w:rPr>
          <w:sz w:val="20"/>
        </w:rPr>
        <w:t xml:space="preserve">’il existe un taux recommandé pour le dollar canadien et qu’une date d’effet de l’abandon du taux </w:t>
      </w:r>
      <w:r w:rsidR="001A39E4" w:rsidRPr="001A39E4">
        <w:rPr>
          <w:sz w:val="20"/>
        </w:rPr>
        <w:t xml:space="preserve">recommandé pour le dollar canadien </w:t>
      </w:r>
      <w:r w:rsidR="002D01DA" w:rsidRPr="009D03DC">
        <w:rPr>
          <w:sz w:val="20"/>
        </w:rPr>
        <w:t xml:space="preserve">survient </w:t>
      </w:r>
      <w:r w:rsidRPr="009D03DC">
        <w:rPr>
          <w:sz w:val="20"/>
        </w:rPr>
        <w:t>postérieure</w:t>
      </w:r>
      <w:r w:rsidR="002D01DA" w:rsidRPr="009D03DC">
        <w:rPr>
          <w:sz w:val="20"/>
        </w:rPr>
        <w:t>ment)</w:t>
      </w:r>
      <w:r w:rsidRPr="009D03DC">
        <w:rPr>
          <w:sz w:val="20"/>
        </w:rPr>
        <w:t xml:space="preserve">, </w:t>
      </w:r>
      <w:r w:rsidR="002D01DA" w:rsidRPr="009D03DC">
        <w:rPr>
          <w:sz w:val="20"/>
        </w:rPr>
        <w:t xml:space="preserve">alors </w:t>
      </w:r>
      <w:r w:rsidRPr="009D03DC">
        <w:rPr>
          <w:sz w:val="20"/>
        </w:rPr>
        <w:t xml:space="preserve">le taux à </w:t>
      </w:r>
      <w:r w:rsidR="002D01DA" w:rsidRPr="009D03DC">
        <w:rPr>
          <w:sz w:val="20"/>
        </w:rPr>
        <w:t>retenir</w:t>
      </w:r>
      <w:r w:rsidRPr="009D03DC">
        <w:rPr>
          <w:sz w:val="20"/>
        </w:rPr>
        <w:t xml:space="preserve"> </w:t>
      </w:r>
      <w:r w:rsidR="002D01DA" w:rsidRPr="009D03DC">
        <w:rPr>
          <w:sz w:val="20"/>
        </w:rPr>
        <w:t xml:space="preserve">pour la date de fixation du taux CORRA qui coïncide avec, ou suit, la </w:t>
      </w:r>
      <w:r w:rsidRPr="009D03DC">
        <w:rPr>
          <w:sz w:val="20"/>
        </w:rPr>
        <w:t>date d’effet de l’abandon du taux CORRA (ou</w:t>
      </w:r>
      <w:r w:rsidR="002D01DA" w:rsidRPr="009D03DC">
        <w:rPr>
          <w:sz w:val="20"/>
        </w:rPr>
        <w:t xml:space="preserve"> la date de fixation du taux recommandé pour le dollar canadien</w:t>
      </w:r>
      <w:r w:rsidR="00042E7F" w:rsidRPr="00042E7F">
        <w:rPr>
          <w:sz w:val="20"/>
        </w:rPr>
        <w:t xml:space="preserve"> </w:t>
      </w:r>
      <w:r w:rsidR="00042E7F">
        <w:rPr>
          <w:sz w:val="20"/>
        </w:rPr>
        <w:t xml:space="preserve">qui </w:t>
      </w:r>
      <w:r w:rsidR="00042E7F" w:rsidRPr="009D03DC">
        <w:rPr>
          <w:sz w:val="20"/>
        </w:rPr>
        <w:t>coïncide avec, ou suit,</w:t>
      </w:r>
      <w:r w:rsidR="00042E7F">
        <w:rPr>
          <w:sz w:val="20"/>
        </w:rPr>
        <w:t xml:space="preserve"> la</w:t>
      </w:r>
      <w:r w:rsidR="00042E7F" w:rsidRPr="00042E7F">
        <w:t xml:space="preserve"> </w:t>
      </w:r>
      <w:r w:rsidR="00042E7F" w:rsidRPr="00042E7F">
        <w:rPr>
          <w:sz w:val="20"/>
        </w:rPr>
        <w:t>date d’effet de l’abandon du taux recommandé pour le dollar canadien</w:t>
      </w:r>
      <w:r w:rsidR="002D01DA" w:rsidRPr="009D03DC">
        <w:rPr>
          <w:sz w:val="20"/>
        </w:rPr>
        <w:t>, le cas échéant) est le taux cible de</w:t>
      </w:r>
      <w:r w:rsidRPr="009D03DC">
        <w:rPr>
          <w:sz w:val="20"/>
        </w:rPr>
        <w:t xml:space="preserve"> la Banque du Canada.</w:t>
      </w:r>
      <w:bookmarkEnd w:id="86"/>
    </w:p>
    <w:p w14:paraId="46F9E14B" w14:textId="77777777" w:rsidR="00E25C8A" w:rsidRPr="009D03DC" w:rsidRDefault="00AB0CFF" w:rsidP="00B41505">
      <w:pPr>
        <w:pStyle w:val="OHHpara"/>
        <w:rPr>
          <w:sz w:val="20"/>
        </w:rPr>
      </w:pPr>
      <w:bookmarkStart w:id="87" w:name="lt_pId086"/>
      <w:r w:rsidRPr="009D03DC">
        <w:rPr>
          <w:i/>
          <w:iCs/>
          <w:sz w:val="20"/>
          <w:u w:val="single"/>
        </w:rPr>
        <w:t>Taux cible de la Banque du Canada</w:t>
      </w:r>
      <w:bookmarkEnd w:id="87"/>
    </w:p>
    <w:p w14:paraId="7B44E398" w14:textId="77777777" w:rsidR="00E25C8A" w:rsidRPr="009D03DC" w:rsidRDefault="00AB0CFF" w:rsidP="00B41505">
      <w:pPr>
        <w:pStyle w:val="OHHpara"/>
        <w:rPr>
          <w:sz w:val="20"/>
        </w:rPr>
      </w:pPr>
      <w:bookmarkStart w:id="88" w:name="lt_pId087"/>
      <w:r w:rsidRPr="009D03DC">
        <w:rPr>
          <w:sz w:val="20"/>
        </w:rPr>
        <w:t>S’agissant</w:t>
      </w:r>
      <w:r w:rsidR="004C5B93" w:rsidRPr="009D03DC">
        <w:rPr>
          <w:sz w:val="20"/>
        </w:rPr>
        <w:t xml:space="preserve"> des jours où le taux cible de la Banque du Canada est requis</w:t>
      </w:r>
      <w:r w:rsidR="00037436" w:rsidRPr="009D03DC">
        <w:rPr>
          <w:sz w:val="20"/>
        </w:rPr>
        <w:t>, les mentions du taux cible de la Banque du Canada sont</w:t>
      </w:r>
      <w:r w:rsidR="004C5B93" w:rsidRPr="009D03DC">
        <w:rPr>
          <w:sz w:val="20"/>
        </w:rPr>
        <w:t xml:space="preserve"> </w:t>
      </w:r>
      <w:r w:rsidR="00037436" w:rsidRPr="009D03DC">
        <w:rPr>
          <w:sz w:val="20"/>
        </w:rPr>
        <w:t xml:space="preserve">réputées </w:t>
      </w:r>
      <w:r w:rsidR="004C5B93" w:rsidRPr="009D03DC">
        <w:rPr>
          <w:sz w:val="20"/>
        </w:rPr>
        <w:t>se rapporter au tout</w:t>
      </w:r>
      <w:r w:rsidR="00037436" w:rsidRPr="009D03DC">
        <w:rPr>
          <w:sz w:val="20"/>
        </w:rPr>
        <w:t xml:space="preserve"> dernier taux cible de la Banque du Canada fourni ou publié</w:t>
      </w:r>
      <w:r w:rsidR="004C5B93" w:rsidRPr="009D03DC">
        <w:rPr>
          <w:sz w:val="20"/>
        </w:rPr>
        <w:t xml:space="preserve"> à la clôture des opérations à Toronto le jour en question</w:t>
      </w:r>
      <w:r w:rsidR="00037436" w:rsidRPr="009D03DC">
        <w:rPr>
          <w:sz w:val="20"/>
        </w:rPr>
        <w:t>.</w:t>
      </w:r>
      <w:bookmarkEnd w:id="88"/>
    </w:p>
    <w:p w14:paraId="1CDC26E5" w14:textId="77777777" w:rsidR="00E25C8A" w:rsidRPr="009D03DC" w:rsidRDefault="00AB0CFF" w:rsidP="00B41505">
      <w:pPr>
        <w:pStyle w:val="OHHpara"/>
        <w:rPr>
          <w:i/>
          <w:iCs/>
          <w:sz w:val="20"/>
          <w:u w:val="single"/>
        </w:rPr>
      </w:pPr>
      <w:bookmarkStart w:id="89" w:name="lt_pId088"/>
      <w:r w:rsidRPr="009D03DC">
        <w:rPr>
          <w:i/>
          <w:iCs/>
          <w:sz w:val="20"/>
          <w:u w:val="single"/>
        </w:rPr>
        <w:t>Modifications relatives au taux de rechange applicable</w:t>
      </w:r>
      <w:bookmarkEnd w:id="89"/>
    </w:p>
    <w:p w14:paraId="44CCEF97" w14:textId="77777777" w:rsidR="00E25C8A" w:rsidRPr="009D03DC" w:rsidRDefault="00AB0CFF" w:rsidP="00B41505">
      <w:pPr>
        <w:pStyle w:val="OHHpara"/>
        <w:rPr>
          <w:sz w:val="20"/>
        </w:rPr>
      </w:pPr>
      <w:bookmarkStart w:id="90" w:name="lt_pId089"/>
      <w:r w:rsidRPr="009D03DC">
        <w:rPr>
          <w:sz w:val="20"/>
        </w:rPr>
        <w:t xml:space="preserve">Malgré ce qui précède et en ce qui concerne la mise en œuvre d’un taux de rechange applicable, l’agent de calcul peut, en consultation avec l’émetteur, apporter </w:t>
      </w:r>
      <w:r w:rsidR="004C5B93" w:rsidRPr="009D03DC">
        <w:rPr>
          <w:sz w:val="20"/>
        </w:rPr>
        <w:t>au taux de rechange</w:t>
      </w:r>
      <w:r w:rsidR="001A39E4">
        <w:rPr>
          <w:sz w:val="20"/>
        </w:rPr>
        <w:t xml:space="preserve"> applicable</w:t>
      </w:r>
      <w:r w:rsidRPr="009D03DC">
        <w:rPr>
          <w:sz w:val="20"/>
        </w:rPr>
        <w:t xml:space="preserve"> ou à l’écart qui y est ajouté, ainsi qu’à la convention relative aux jours ouvrables, aux dates </w:t>
      </w:r>
      <w:r w:rsidR="004C5B93" w:rsidRPr="009D03DC">
        <w:rPr>
          <w:sz w:val="20"/>
        </w:rPr>
        <w:t>de détermination des intérêts</w:t>
      </w:r>
      <w:r w:rsidRPr="009D03DC">
        <w:rPr>
          <w:sz w:val="20"/>
        </w:rPr>
        <w:t xml:space="preserve"> et aux modalités et définitions qui s’y rapportent, des ajustements conformes</w:t>
      </w:r>
      <w:r w:rsidR="004C5B93" w:rsidRPr="009D03DC">
        <w:rPr>
          <w:sz w:val="20"/>
        </w:rPr>
        <w:t>, dans chaque cas,</w:t>
      </w:r>
      <w:r w:rsidRPr="009D03DC">
        <w:rPr>
          <w:sz w:val="20"/>
        </w:rPr>
        <w:t xml:space="preserve"> aux pratiques du marché reconnues </w:t>
      </w:r>
      <w:r w:rsidR="004C5B93" w:rsidRPr="009D03DC">
        <w:rPr>
          <w:sz w:val="20"/>
        </w:rPr>
        <w:t>pour</w:t>
      </w:r>
      <w:r w:rsidRPr="009D03DC">
        <w:rPr>
          <w:sz w:val="20"/>
        </w:rPr>
        <w:t xml:space="preserve"> le recours à un taux de rechange applicable aux titres d</w:t>
      </w:r>
      <w:r w:rsidR="00293F33" w:rsidRPr="009D03DC">
        <w:rPr>
          <w:sz w:val="20"/>
        </w:rPr>
        <w:t>e créance</w:t>
      </w:r>
      <w:r w:rsidRPr="009D03DC">
        <w:rPr>
          <w:sz w:val="20"/>
        </w:rPr>
        <w:t xml:space="preserve"> comme </w:t>
      </w:r>
      <w:r w:rsidR="004C5B93" w:rsidRPr="009D03DC">
        <w:rPr>
          <w:sz w:val="20"/>
        </w:rPr>
        <w:t>les obligations</w:t>
      </w:r>
      <w:r w:rsidRPr="009D03DC">
        <w:rPr>
          <w:sz w:val="20"/>
        </w:rPr>
        <w:t xml:space="preserve"> dans ces circonstances.</w:t>
      </w:r>
      <w:bookmarkEnd w:id="90"/>
    </w:p>
    <w:p w14:paraId="051049E1" w14:textId="77777777" w:rsidR="00E25C8A" w:rsidRPr="009D03DC" w:rsidRDefault="00AB0CFF" w:rsidP="00B41505">
      <w:pPr>
        <w:pStyle w:val="OHHpara"/>
        <w:rPr>
          <w:sz w:val="20"/>
        </w:rPr>
      </w:pPr>
      <w:bookmarkStart w:id="91" w:name="lt_pId090"/>
      <w:r w:rsidRPr="009D03DC">
        <w:rPr>
          <w:i/>
          <w:iCs/>
          <w:sz w:val="20"/>
          <w:u w:val="single"/>
        </w:rPr>
        <w:t>Définitions</w:t>
      </w:r>
      <w:bookmarkEnd w:id="91"/>
    </w:p>
    <w:p w14:paraId="5CEEDDEE" w14:textId="77777777" w:rsidR="006E7B73" w:rsidRPr="009D03DC" w:rsidRDefault="00AB0CFF" w:rsidP="006E7B73">
      <w:pPr>
        <w:pStyle w:val="OHHpara"/>
        <w:rPr>
          <w:sz w:val="20"/>
        </w:rPr>
      </w:pPr>
      <w:bookmarkStart w:id="92" w:name="lt_pId095"/>
      <w:r w:rsidRPr="009D03DC">
        <w:rPr>
          <w:sz w:val="20"/>
        </w:rPr>
        <w:t>« </w:t>
      </w:r>
      <w:r w:rsidR="00037436" w:rsidRPr="009D03DC">
        <w:rPr>
          <w:sz w:val="20"/>
        </w:rPr>
        <w:t>date de fixation du taux recommandé pour le dollar canadien</w:t>
      </w:r>
      <w:r w:rsidRPr="009D03DC">
        <w:rPr>
          <w:sz w:val="20"/>
        </w:rPr>
        <w:t> » désigne, s’agissant du</w:t>
      </w:r>
      <w:r w:rsidR="00037436" w:rsidRPr="009D03DC">
        <w:rPr>
          <w:sz w:val="20"/>
        </w:rPr>
        <w:t xml:space="preserve"> taux recommandé pour le dollar canadien et</w:t>
      </w:r>
      <w:r w:rsidRPr="009D03DC">
        <w:rPr>
          <w:sz w:val="20"/>
        </w:rPr>
        <w:t xml:space="preserve"> de la date de détermination des intérêts,</w:t>
      </w:r>
      <w:r w:rsidR="00037436" w:rsidRPr="009D03DC">
        <w:rPr>
          <w:sz w:val="20"/>
        </w:rPr>
        <w:t xml:space="preserve"> le jour </w:t>
      </w:r>
      <w:r w:rsidRPr="009D03DC">
        <w:rPr>
          <w:sz w:val="20"/>
        </w:rPr>
        <w:t xml:space="preserve">de publication </w:t>
      </w:r>
      <w:r w:rsidR="00037436" w:rsidRPr="009D03DC">
        <w:rPr>
          <w:sz w:val="20"/>
        </w:rPr>
        <w:t xml:space="preserve">précisé par l’administrateur du taux </w:t>
      </w:r>
      <w:r w:rsidRPr="009D03DC">
        <w:rPr>
          <w:sz w:val="20"/>
        </w:rPr>
        <w:t xml:space="preserve">recommandé pour le dollar canadien </w:t>
      </w:r>
      <w:r w:rsidR="00037436" w:rsidRPr="009D03DC">
        <w:rPr>
          <w:sz w:val="20"/>
        </w:rPr>
        <w:t>dans sa documentation sur la méthodologie afférente au taux</w:t>
      </w:r>
      <w:r w:rsidRPr="009D03DC">
        <w:rPr>
          <w:sz w:val="20"/>
        </w:rPr>
        <w:t>.</w:t>
      </w:r>
      <w:bookmarkEnd w:id="92"/>
    </w:p>
    <w:p w14:paraId="52C4DF35" w14:textId="77777777" w:rsidR="00D9695E" w:rsidRDefault="00AB0CFF" w:rsidP="006E7B73">
      <w:pPr>
        <w:pStyle w:val="OHHpara"/>
        <w:rPr>
          <w:sz w:val="20"/>
        </w:rPr>
      </w:pPr>
      <w:bookmarkStart w:id="93" w:name="lt_pId096"/>
      <w:r>
        <w:rPr>
          <w:sz w:val="20"/>
        </w:rPr>
        <w:t>« d</w:t>
      </w:r>
      <w:r w:rsidRPr="009D03DC">
        <w:rPr>
          <w:sz w:val="20"/>
        </w:rPr>
        <w:t>ate de fixation initiale applicable</w:t>
      </w:r>
      <w:r>
        <w:rPr>
          <w:sz w:val="20"/>
        </w:rPr>
        <w:t xml:space="preserve"> » </w:t>
      </w:r>
      <w:r w:rsidR="000D0C0C">
        <w:rPr>
          <w:sz w:val="20"/>
        </w:rPr>
        <w:t>désigne</w:t>
      </w:r>
      <w:r w:rsidR="007278EC" w:rsidRPr="009D03DC">
        <w:rPr>
          <w:sz w:val="20"/>
        </w:rPr>
        <w:t>, à moins qu’il n’en soit convenu autrement</w:t>
      </w:r>
      <w:r w:rsidR="007278EC">
        <w:rPr>
          <w:sz w:val="20"/>
        </w:rPr>
        <w:t>,</w:t>
      </w:r>
      <w:r>
        <w:rPr>
          <w:sz w:val="20"/>
        </w:rPr>
        <w:t xml:space="preserve"> le j</w:t>
      </w:r>
      <w:r w:rsidRPr="009D03DC">
        <w:rPr>
          <w:sz w:val="20"/>
        </w:rPr>
        <w:t>our où le taux CORRA, ou l’indice du taux CORRA composé, selon le cas, aurait été observé.</w:t>
      </w:r>
    </w:p>
    <w:p w14:paraId="65B3D5BC" w14:textId="77777777" w:rsidR="00D9695E" w:rsidRDefault="00AB0CFF" w:rsidP="006E7B73">
      <w:pPr>
        <w:pStyle w:val="OHHpara"/>
        <w:rPr>
          <w:sz w:val="20"/>
        </w:rPr>
      </w:pPr>
      <w:r>
        <w:rPr>
          <w:sz w:val="20"/>
        </w:rPr>
        <w:t>« d</w:t>
      </w:r>
      <w:r w:rsidRPr="009D03DC">
        <w:rPr>
          <w:sz w:val="20"/>
        </w:rPr>
        <w:t>ate d’effet de l’abandon de l’indice du taux CORRA composé</w:t>
      </w:r>
      <w:r>
        <w:rPr>
          <w:sz w:val="20"/>
        </w:rPr>
        <w:t> » désigne,</w:t>
      </w:r>
      <w:r w:rsidRPr="009D03DC">
        <w:rPr>
          <w:sz w:val="20"/>
        </w:rPr>
        <w:t> </w:t>
      </w:r>
      <w:r>
        <w:rPr>
          <w:sz w:val="20"/>
        </w:rPr>
        <w:t>d</w:t>
      </w:r>
      <w:r w:rsidRPr="009D03DC">
        <w:rPr>
          <w:sz w:val="20"/>
        </w:rPr>
        <w:t xml:space="preserve">ans le cas où il existe </w:t>
      </w:r>
      <w:r w:rsidR="007278EC">
        <w:rPr>
          <w:sz w:val="20"/>
        </w:rPr>
        <w:t xml:space="preserve">un ou </w:t>
      </w:r>
      <w:r w:rsidRPr="009D03DC">
        <w:rPr>
          <w:sz w:val="20"/>
        </w:rPr>
        <w:t>plus</w:t>
      </w:r>
      <w:r w:rsidR="007278EC">
        <w:rPr>
          <w:sz w:val="20"/>
        </w:rPr>
        <w:t>ieurs</w:t>
      </w:r>
      <w:r w:rsidRPr="009D03DC">
        <w:rPr>
          <w:sz w:val="20"/>
        </w:rPr>
        <w:t xml:space="preserve"> événement</w:t>
      </w:r>
      <w:r w:rsidR="007278EC">
        <w:rPr>
          <w:sz w:val="20"/>
        </w:rPr>
        <w:t>s</w:t>
      </w:r>
      <w:r w:rsidRPr="009D03DC">
        <w:rPr>
          <w:sz w:val="20"/>
        </w:rPr>
        <w:t xml:space="preserve"> déclencheur</w:t>
      </w:r>
      <w:r w:rsidR="007278EC">
        <w:rPr>
          <w:sz w:val="20"/>
        </w:rPr>
        <w:t>s</w:t>
      </w:r>
      <w:r w:rsidRPr="009D03DC">
        <w:rPr>
          <w:sz w:val="20"/>
        </w:rPr>
        <w:t xml:space="preserve"> de l’abandon de l’indice du taux CORRA composé, </w:t>
      </w:r>
      <w:r>
        <w:rPr>
          <w:sz w:val="20"/>
        </w:rPr>
        <w:t xml:space="preserve">la </w:t>
      </w:r>
      <w:r w:rsidRPr="009D03DC">
        <w:rPr>
          <w:sz w:val="20"/>
        </w:rPr>
        <w:t>date initiale à laquelle l’indice du taux CORRA composé cesse d’être fourni. Si l’indice du taux CORRA composé cesse d’être fourni à la date de fixation initiale applicable, mais a été fourni au moment où il doit être observé conformément aux modalités associées aux Obligations visées, alors la date d’effet de l’abandon de l’indice du taux CORRA composé est le prochain jour où le taux aurait normalement été publié.</w:t>
      </w:r>
    </w:p>
    <w:p w14:paraId="3F1B7333" w14:textId="77777777" w:rsidR="00D9695E" w:rsidRPr="009D03DC" w:rsidRDefault="00AB0CFF" w:rsidP="006E7B73">
      <w:pPr>
        <w:pStyle w:val="OHHpara"/>
        <w:rPr>
          <w:sz w:val="20"/>
        </w:rPr>
      </w:pPr>
      <w:r>
        <w:rPr>
          <w:sz w:val="20"/>
        </w:rPr>
        <w:t>« d</w:t>
      </w:r>
      <w:r w:rsidRPr="009D03DC">
        <w:rPr>
          <w:sz w:val="20"/>
        </w:rPr>
        <w:t>ate d’effet de l’abandon du taux CORRA</w:t>
      </w:r>
      <w:r>
        <w:rPr>
          <w:sz w:val="20"/>
        </w:rPr>
        <w:t> » désigne,</w:t>
      </w:r>
      <w:r w:rsidRPr="009D03DC">
        <w:rPr>
          <w:sz w:val="20"/>
        </w:rPr>
        <w:t xml:space="preserve"> </w:t>
      </w:r>
      <w:r>
        <w:rPr>
          <w:sz w:val="20"/>
        </w:rPr>
        <w:t>d</w:t>
      </w:r>
      <w:r w:rsidRPr="009D03DC">
        <w:rPr>
          <w:sz w:val="20"/>
        </w:rPr>
        <w:t xml:space="preserve">ans le cas où il existe </w:t>
      </w:r>
      <w:r w:rsidR="007278EC">
        <w:rPr>
          <w:sz w:val="20"/>
        </w:rPr>
        <w:t xml:space="preserve">un ou </w:t>
      </w:r>
      <w:r w:rsidRPr="009D03DC">
        <w:rPr>
          <w:sz w:val="20"/>
        </w:rPr>
        <w:t>plus</w:t>
      </w:r>
      <w:r w:rsidR="007278EC">
        <w:rPr>
          <w:sz w:val="20"/>
        </w:rPr>
        <w:t>ieurs</w:t>
      </w:r>
      <w:r w:rsidRPr="009D03DC">
        <w:rPr>
          <w:sz w:val="20"/>
        </w:rPr>
        <w:t xml:space="preserve"> événement</w:t>
      </w:r>
      <w:r w:rsidR="007278EC">
        <w:rPr>
          <w:sz w:val="20"/>
        </w:rPr>
        <w:t>s</w:t>
      </w:r>
      <w:r w:rsidRPr="009D03DC">
        <w:rPr>
          <w:sz w:val="20"/>
        </w:rPr>
        <w:t xml:space="preserve"> déclencheur</w:t>
      </w:r>
      <w:r w:rsidR="007278EC">
        <w:rPr>
          <w:sz w:val="20"/>
        </w:rPr>
        <w:t>s</w:t>
      </w:r>
      <w:r w:rsidRPr="009D03DC">
        <w:rPr>
          <w:sz w:val="20"/>
        </w:rPr>
        <w:t xml:space="preserve"> de l’abandon du taux CORRA, </w:t>
      </w:r>
      <w:r>
        <w:rPr>
          <w:sz w:val="20"/>
        </w:rPr>
        <w:t xml:space="preserve">la </w:t>
      </w:r>
      <w:r w:rsidRPr="009D03DC">
        <w:rPr>
          <w:sz w:val="20"/>
        </w:rPr>
        <w:t>date initiale à laquelle le taux CORRA cesse d’être fourni. Si le taux CORRA cesse d’être fourni à la date de fixation initiale applicable, mais a été fourni au moment où il doit être observé conformément aux modalités associées aux Obligations visées, alors la date d’effet de l’abandon du taux CORRA est le prochain jour où le taux aurait normalement été publié.</w:t>
      </w:r>
    </w:p>
    <w:p w14:paraId="1B1F4691" w14:textId="77777777" w:rsidR="006E7B73" w:rsidRDefault="00AB0CFF" w:rsidP="006E7B73">
      <w:pPr>
        <w:pStyle w:val="OHHpara"/>
        <w:rPr>
          <w:sz w:val="20"/>
        </w:rPr>
      </w:pPr>
      <w:r w:rsidRPr="009D03DC">
        <w:rPr>
          <w:sz w:val="20"/>
        </w:rPr>
        <w:t>« </w:t>
      </w:r>
      <w:r w:rsidR="00037436" w:rsidRPr="009D03DC">
        <w:rPr>
          <w:sz w:val="20"/>
        </w:rPr>
        <w:t>date d’effet de l’abandon du taux recommandé pour le dollar canadien</w:t>
      </w:r>
      <w:r w:rsidRPr="009D03DC">
        <w:rPr>
          <w:sz w:val="20"/>
        </w:rPr>
        <w:t> »</w:t>
      </w:r>
      <w:r w:rsidR="00037436" w:rsidRPr="009D03DC">
        <w:rPr>
          <w:sz w:val="20"/>
        </w:rPr>
        <w:t xml:space="preserve"> </w:t>
      </w:r>
      <w:r w:rsidR="00256369">
        <w:rPr>
          <w:sz w:val="20"/>
        </w:rPr>
        <w:t>désigne</w:t>
      </w:r>
      <w:r w:rsidRPr="009D03DC">
        <w:rPr>
          <w:sz w:val="20"/>
        </w:rPr>
        <w:t>, s’agissant du</w:t>
      </w:r>
      <w:r w:rsidR="00037436" w:rsidRPr="009D03DC">
        <w:rPr>
          <w:sz w:val="20"/>
        </w:rPr>
        <w:t xml:space="preserve"> taux recommandé pour le dollar canadien et </w:t>
      </w:r>
      <w:r w:rsidRPr="009D03DC">
        <w:rPr>
          <w:sz w:val="20"/>
        </w:rPr>
        <w:t>d’u</w:t>
      </w:r>
      <w:r w:rsidR="00037436" w:rsidRPr="009D03DC">
        <w:rPr>
          <w:sz w:val="20"/>
        </w:rPr>
        <w:t xml:space="preserve">n événement déclencheur de l’abandon </w:t>
      </w:r>
      <w:r w:rsidR="00042E7F" w:rsidRPr="009D03DC">
        <w:rPr>
          <w:sz w:val="20"/>
        </w:rPr>
        <w:t>du taux recommandé pour le dollar canadien</w:t>
      </w:r>
      <w:r w:rsidR="00037436" w:rsidRPr="009D03DC">
        <w:rPr>
          <w:sz w:val="20"/>
        </w:rPr>
        <w:t>,</w:t>
      </w:r>
      <w:r w:rsidRPr="009D03DC">
        <w:rPr>
          <w:sz w:val="20"/>
        </w:rPr>
        <w:t xml:space="preserve"> </w:t>
      </w:r>
      <w:r w:rsidR="00037436" w:rsidRPr="009D03DC">
        <w:rPr>
          <w:sz w:val="20"/>
        </w:rPr>
        <w:t>la première date à laquelle le taux recommandé pour le dollar canadien n’est pas publié, alors qu’il l’aurait normalement été</w:t>
      </w:r>
      <w:r w:rsidRPr="009D03DC">
        <w:rPr>
          <w:sz w:val="20"/>
        </w:rPr>
        <w:t>.</w:t>
      </w:r>
      <w:bookmarkEnd w:id="93"/>
    </w:p>
    <w:p w14:paraId="19E2F6C1" w14:textId="77777777" w:rsidR="00D9695E" w:rsidRPr="009D03DC" w:rsidRDefault="00AB0CFF" w:rsidP="00D9695E">
      <w:pPr>
        <w:pStyle w:val="OHHpara"/>
        <w:rPr>
          <w:sz w:val="20"/>
        </w:rPr>
      </w:pPr>
      <w:r w:rsidRPr="009D03DC">
        <w:rPr>
          <w:sz w:val="20"/>
        </w:rPr>
        <w:t>« événement déclencheur de l’abandon de l’indice du taux CORRA composé » désigne :</w:t>
      </w:r>
    </w:p>
    <w:p w14:paraId="332107EE" w14:textId="77777777" w:rsidR="00D9695E" w:rsidRPr="009D03DC" w:rsidRDefault="00AB0CFF" w:rsidP="00D9695E">
      <w:pPr>
        <w:pStyle w:val="OHHpara"/>
        <w:numPr>
          <w:ilvl w:val="0"/>
          <w:numId w:val="21"/>
        </w:numPr>
        <w:rPr>
          <w:sz w:val="20"/>
        </w:rPr>
      </w:pPr>
      <w:r w:rsidRPr="009D03DC">
        <w:rPr>
          <w:sz w:val="20"/>
        </w:rPr>
        <w:lastRenderedPageBreak/>
        <w:t>une déclaration publique ou une publication d’information faite par l’administrateur de l’indice du taux CORRA composé ou en son nom indiquant qu’il a cessé ou cessera de fournir l’indice du taux CORRA composé définitivement ou pour une durée indéterminée, dans la mesure où, à la date de la déclaration ou de la publication, aucun successeur ne prend la relève</w:t>
      </w:r>
      <w:r w:rsidR="00E64632" w:rsidRPr="00E64632">
        <w:rPr>
          <w:sz w:val="20"/>
        </w:rPr>
        <w:t xml:space="preserve"> </w:t>
      </w:r>
      <w:r w:rsidR="00E64632" w:rsidRPr="009D03DC">
        <w:rPr>
          <w:sz w:val="20"/>
        </w:rPr>
        <w:t>à titre d’administrateur</w:t>
      </w:r>
      <w:r w:rsidR="00E64632" w:rsidRPr="00E64632">
        <w:rPr>
          <w:sz w:val="20"/>
        </w:rPr>
        <w:t xml:space="preserve"> </w:t>
      </w:r>
      <w:r w:rsidR="00E64632" w:rsidRPr="009D03DC">
        <w:rPr>
          <w:sz w:val="20"/>
        </w:rPr>
        <w:t>de l’indice du taux CORRA composé</w:t>
      </w:r>
      <w:r w:rsidRPr="009D03DC">
        <w:rPr>
          <w:sz w:val="20"/>
        </w:rPr>
        <w:t>;</w:t>
      </w:r>
      <w:r w:rsidR="000D0C0C">
        <w:rPr>
          <w:sz w:val="20"/>
        </w:rPr>
        <w:t xml:space="preserve"> ou</w:t>
      </w:r>
    </w:p>
    <w:p w14:paraId="153A09AF" w14:textId="77777777" w:rsidR="00D9695E" w:rsidRPr="00D9695E" w:rsidRDefault="00AB0CFF" w:rsidP="00AF79A1">
      <w:pPr>
        <w:pStyle w:val="OHHpara"/>
        <w:numPr>
          <w:ilvl w:val="0"/>
          <w:numId w:val="21"/>
        </w:numPr>
        <w:rPr>
          <w:sz w:val="20"/>
        </w:rPr>
      </w:pPr>
      <w:r w:rsidRPr="009D03DC">
        <w:rPr>
          <w:sz w:val="20"/>
        </w:rPr>
        <w:t>une déclaration publique ou une publication d’information faite par l’organisme de surveillance dont relève l’administrateur de l’indice du taux CORRA composé (le cas échéant), la Banque du Canada, une entité responsable des procédures d’insolvabilité dont relève l’administrateur de l’indice du taux CORRA composé, une entité dotée de pouvoirs de résolution dont relève l’administrateur de l’indice du taux CORRA composé ou encore un tribunal ou une entité disposant de pouvoirs comparables en matière d’insolvabilité ou de résolution sur l’administrateur de l’indice du taux CORRA composé, indiquant que l’administrateur de l’indice du taux CORRA composé a cessé ou cessera de fournir l’indice du taux CORRA composé définitivement ou pour une durée indéterminée, dans la mesure où, à la date de la déclaration ou de la publication, aucun successeur ne prend la relève</w:t>
      </w:r>
      <w:r w:rsidR="00E64632" w:rsidRPr="00E64632">
        <w:rPr>
          <w:sz w:val="20"/>
        </w:rPr>
        <w:t xml:space="preserve"> </w:t>
      </w:r>
      <w:r w:rsidR="00E64632" w:rsidRPr="009D03DC">
        <w:rPr>
          <w:sz w:val="20"/>
        </w:rPr>
        <w:t>à titre d’administrateur</w:t>
      </w:r>
      <w:r w:rsidR="00E64632" w:rsidRPr="00E64632">
        <w:rPr>
          <w:sz w:val="20"/>
        </w:rPr>
        <w:t xml:space="preserve"> </w:t>
      </w:r>
      <w:r w:rsidR="00E64632" w:rsidRPr="009D03DC">
        <w:rPr>
          <w:sz w:val="20"/>
        </w:rPr>
        <w:t>de l’indice du taux CORRA composé</w:t>
      </w:r>
      <w:r w:rsidRPr="009D03DC">
        <w:rPr>
          <w:sz w:val="20"/>
        </w:rPr>
        <w:t>.</w:t>
      </w:r>
    </w:p>
    <w:p w14:paraId="6E923857" w14:textId="77777777" w:rsidR="00D9695E" w:rsidRPr="009D03DC" w:rsidRDefault="00AB0CFF" w:rsidP="00D9695E">
      <w:pPr>
        <w:pStyle w:val="OHHpara"/>
        <w:rPr>
          <w:sz w:val="20"/>
        </w:rPr>
      </w:pPr>
      <w:r w:rsidRPr="009D03DC">
        <w:rPr>
          <w:sz w:val="20"/>
        </w:rPr>
        <w:t>« événement déclencheur de l’abandon du taux CORRA » désigne :</w:t>
      </w:r>
    </w:p>
    <w:p w14:paraId="7A886387" w14:textId="77777777" w:rsidR="00D9695E" w:rsidRPr="009D03DC" w:rsidRDefault="00AB0CFF" w:rsidP="00D9695E">
      <w:pPr>
        <w:pStyle w:val="OHHpara"/>
        <w:numPr>
          <w:ilvl w:val="0"/>
          <w:numId w:val="20"/>
        </w:numPr>
        <w:rPr>
          <w:sz w:val="20"/>
        </w:rPr>
      </w:pPr>
      <w:r w:rsidRPr="009D03DC">
        <w:rPr>
          <w:sz w:val="20"/>
        </w:rPr>
        <w:t>une déclaration publique ou une publication d’information faite par l’administrateur du taux CORRA ou en son nom indiquant qu’il a cessé ou cessera de fournir le taux CORRA définitivement ou pour une durée indéterminée, dans la mesure où, à la date de la déclaration ou de la publication, aucun successeur ne prend la relève</w:t>
      </w:r>
      <w:r w:rsidR="00E64632" w:rsidRPr="00E64632">
        <w:rPr>
          <w:sz w:val="20"/>
        </w:rPr>
        <w:t xml:space="preserve"> </w:t>
      </w:r>
      <w:r w:rsidR="00E64632" w:rsidRPr="009D03DC">
        <w:rPr>
          <w:sz w:val="20"/>
        </w:rPr>
        <w:t>à titre d’administrateur</w:t>
      </w:r>
      <w:r w:rsidR="00E64632" w:rsidRPr="00E64632">
        <w:rPr>
          <w:sz w:val="20"/>
        </w:rPr>
        <w:t xml:space="preserve"> </w:t>
      </w:r>
      <w:r w:rsidR="00E64632" w:rsidRPr="009D03DC">
        <w:rPr>
          <w:sz w:val="20"/>
        </w:rPr>
        <w:t>du taux CORRA </w:t>
      </w:r>
      <w:r w:rsidRPr="009D03DC">
        <w:rPr>
          <w:sz w:val="20"/>
        </w:rPr>
        <w:t>;</w:t>
      </w:r>
      <w:r w:rsidR="000D0C0C">
        <w:rPr>
          <w:sz w:val="20"/>
        </w:rPr>
        <w:t xml:space="preserve"> ou</w:t>
      </w:r>
    </w:p>
    <w:p w14:paraId="5D5F310C" w14:textId="77777777" w:rsidR="00D9695E" w:rsidRPr="00D9695E" w:rsidRDefault="00AB0CFF" w:rsidP="00AF79A1">
      <w:pPr>
        <w:pStyle w:val="OHHpara"/>
        <w:numPr>
          <w:ilvl w:val="0"/>
          <w:numId w:val="20"/>
        </w:numPr>
        <w:rPr>
          <w:sz w:val="20"/>
        </w:rPr>
      </w:pPr>
      <w:r w:rsidRPr="009D03DC">
        <w:rPr>
          <w:sz w:val="20"/>
        </w:rPr>
        <w:t>une déclaration publique ou une publication d’information faite par l’organisme de surveillance dont relève l’administrateur du taux CORRA (le cas échéant), la Banque du Canada, une entité responsable des procédures d’insolvabilité dont relève l’administrateur du taux CORRA ou encore un tribunal ou une entité disposant de pouvoirs comparables en matière d’insolvabilité ou de résolution sur l’administrateur du taux de rechange CORRA, indiquant que l’administrateur du taux CORRA a cessé ou cessera de fournir le taux CORRA définitivement ou pour une durée indéterminée, dans la mesure où</w:t>
      </w:r>
      <w:r w:rsidR="0069465C" w:rsidRPr="0069465C">
        <w:rPr>
          <w:sz w:val="20"/>
        </w:rPr>
        <w:t>, à la date de la déclaration ou de la publication,</w:t>
      </w:r>
      <w:r w:rsidRPr="009D03DC">
        <w:rPr>
          <w:sz w:val="20"/>
        </w:rPr>
        <w:t xml:space="preserve"> aucun successeur ne prend la relève</w:t>
      </w:r>
      <w:r w:rsidR="00E64632" w:rsidRPr="00E64632">
        <w:rPr>
          <w:sz w:val="20"/>
        </w:rPr>
        <w:t xml:space="preserve"> </w:t>
      </w:r>
      <w:r w:rsidR="00E64632" w:rsidRPr="009D03DC">
        <w:rPr>
          <w:sz w:val="20"/>
        </w:rPr>
        <w:t>à titre d’administrateur</w:t>
      </w:r>
      <w:r w:rsidR="00E64632" w:rsidRPr="00E64632">
        <w:rPr>
          <w:sz w:val="20"/>
        </w:rPr>
        <w:t xml:space="preserve"> </w:t>
      </w:r>
      <w:r w:rsidR="00E64632" w:rsidRPr="009D03DC">
        <w:rPr>
          <w:sz w:val="20"/>
        </w:rPr>
        <w:t>du taux CORRA </w:t>
      </w:r>
      <w:r w:rsidRPr="009D03DC">
        <w:rPr>
          <w:sz w:val="20"/>
        </w:rPr>
        <w:t>.</w:t>
      </w:r>
    </w:p>
    <w:p w14:paraId="27E96EB4" w14:textId="77777777" w:rsidR="006E7B73" w:rsidRPr="009D03DC" w:rsidRDefault="00AB0CFF" w:rsidP="006E7B73">
      <w:pPr>
        <w:pStyle w:val="OHHpara"/>
        <w:rPr>
          <w:sz w:val="20"/>
        </w:rPr>
      </w:pPr>
      <w:bookmarkStart w:id="94" w:name="lt_pId097"/>
      <w:r w:rsidRPr="009D03DC">
        <w:rPr>
          <w:sz w:val="20"/>
        </w:rPr>
        <w:t xml:space="preserve">« événement déclencheur de l’abandon du taux recommandé pour le dollar canadien » désigne, en ce qui concerne le taux </w:t>
      </w:r>
      <w:r w:rsidR="00037436" w:rsidRPr="009D03DC">
        <w:rPr>
          <w:sz w:val="20"/>
        </w:rPr>
        <w:t>recommandé pour le dollar canadien</w:t>
      </w:r>
      <w:r w:rsidRPr="009D03DC">
        <w:rPr>
          <w:sz w:val="20"/>
        </w:rPr>
        <w:t> :</w:t>
      </w:r>
      <w:bookmarkEnd w:id="94"/>
    </w:p>
    <w:p w14:paraId="4148C4F5" w14:textId="77777777" w:rsidR="006E7B73" w:rsidRPr="009D03DC" w:rsidRDefault="00AB0CFF" w:rsidP="006E7B73">
      <w:pPr>
        <w:pStyle w:val="OHHpara"/>
        <w:numPr>
          <w:ilvl w:val="0"/>
          <w:numId w:val="18"/>
        </w:numPr>
        <w:rPr>
          <w:sz w:val="20"/>
        </w:rPr>
      </w:pPr>
      <w:bookmarkStart w:id="95" w:name="lt_pId098"/>
      <w:r w:rsidRPr="009D03DC">
        <w:rPr>
          <w:sz w:val="20"/>
        </w:rPr>
        <w:t xml:space="preserve">une déclaration ou une publication d’information faite par l’administrateur </w:t>
      </w:r>
      <w:r w:rsidR="003853F8" w:rsidRPr="009D03DC">
        <w:rPr>
          <w:sz w:val="20"/>
        </w:rPr>
        <w:t>du taux</w:t>
      </w:r>
      <w:r w:rsidRPr="009D03DC">
        <w:rPr>
          <w:sz w:val="20"/>
        </w:rPr>
        <w:t xml:space="preserve"> ou </w:t>
      </w:r>
      <w:r w:rsidR="003853F8" w:rsidRPr="009D03DC">
        <w:rPr>
          <w:sz w:val="20"/>
        </w:rPr>
        <w:t xml:space="preserve">faite </w:t>
      </w:r>
      <w:r w:rsidRPr="009D03DC">
        <w:rPr>
          <w:sz w:val="20"/>
        </w:rPr>
        <w:t xml:space="preserve">en son nom, indiquant qu’il a cessé ou cessera de fournir le taux </w:t>
      </w:r>
      <w:r w:rsidR="003853F8" w:rsidRPr="009D03DC">
        <w:rPr>
          <w:sz w:val="20"/>
        </w:rPr>
        <w:t>recommandé pour le dollar canadien</w:t>
      </w:r>
      <w:r w:rsidRPr="009D03DC">
        <w:rPr>
          <w:sz w:val="20"/>
        </w:rPr>
        <w:t xml:space="preserve"> définitivement ou pour une durée indéterminée, dans la mesure où</w:t>
      </w:r>
      <w:r w:rsidR="00E64632" w:rsidRPr="0069465C">
        <w:rPr>
          <w:sz w:val="20"/>
        </w:rPr>
        <w:t>, à la date de la déclaration ou de la publication,</w:t>
      </w:r>
      <w:r w:rsidRPr="009D03DC">
        <w:rPr>
          <w:sz w:val="20"/>
        </w:rPr>
        <w:t xml:space="preserve"> aucun </w:t>
      </w:r>
      <w:r w:rsidR="00E64632">
        <w:rPr>
          <w:sz w:val="20"/>
        </w:rPr>
        <w:t>successeur</w:t>
      </w:r>
      <w:r w:rsidR="00E64632" w:rsidRPr="009D03DC">
        <w:rPr>
          <w:sz w:val="20"/>
        </w:rPr>
        <w:t xml:space="preserve"> ne prend la relève </w:t>
      </w:r>
      <w:r w:rsidR="00E64632">
        <w:rPr>
          <w:sz w:val="20"/>
        </w:rPr>
        <w:t>à titre d’</w:t>
      </w:r>
      <w:r w:rsidR="003853F8" w:rsidRPr="009D03DC">
        <w:rPr>
          <w:sz w:val="20"/>
        </w:rPr>
        <w:t>administrateur</w:t>
      </w:r>
      <w:r w:rsidR="00E64632" w:rsidRPr="00E64632">
        <w:rPr>
          <w:sz w:val="20"/>
        </w:rPr>
        <w:t xml:space="preserve"> </w:t>
      </w:r>
      <w:r w:rsidR="00E64632" w:rsidRPr="009D03DC">
        <w:rPr>
          <w:sz w:val="20"/>
        </w:rPr>
        <w:t>du taux recommandé pour le dollar canadien</w:t>
      </w:r>
      <w:r w:rsidRPr="009D03DC">
        <w:rPr>
          <w:sz w:val="20"/>
        </w:rPr>
        <w:t xml:space="preserve">; </w:t>
      </w:r>
      <w:bookmarkEnd w:id="95"/>
      <w:r w:rsidR="000D0C0C">
        <w:rPr>
          <w:sz w:val="20"/>
        </w:rPr>
        <w:t>ou</w:t>
      </w:r>
    </w:p>
    <w:p w14:paraId="1FB8D57B" w14:textId="77777777" w:rsidR="006E7B73" w:rsidRPr="009D03DC" w:rsidRDefault="00AB0CFF" w:rsidP="006E7B73">
      <w:pPr>
        <w:pStyle w:val="OHHpara"/>
        <w:numPr>
          <w:ilvl w:val="0"/>
          <w:numId w:val="18"/>
        </w:numPr>
        <w:rPr>
          <w:sz w:val="20"/>
        </w:rPr>
      </w:pPr>
      <w:bookmarkStart w:id="96" w:name="lt_pId099"/>
      <w:r w:rsidRPr="009D03DC">
        <w:rPr>
          <w:sz w:val="20"/>
        </w:rPr>
        <w:t xml:space="preserve">une déclaration publique ou une publication d’information faite par l’organisme de surveillance dont relève l’administrateur </w:t>
      </w:r>
      <w:r w:rsidR="003853F8" w:rsidRPr="009D03DC">
        <w:rPr>
          <w:sz w:val="20"/>
        </w:rPr>
        <w:t>du taux recommandé pour le dollar canadien</w:t>
      </w:r>
      <w:r w:rsidRPr="009D03DC">
        <w:rPr>
          <w:sz w:val="20"/>
        </w:rPr>
        <w:t xml:space="preserve">, la </w:t>
      </w:r>
      <w:r w:rsidR="00637D3C" w:rsidRPr="009D03DC">
        <w:rPr>
          <w:sz w:val="20"/>
        </w:rPr>
        <w:t>banque centrale responsable de l’émission de la monnaie associée au taux recommandé pour le dollar canadien,</w:t>
      </w:r>
      <w:r w:rsidRPr="009D03DC">
        <w:rPr>
          <w:sz w:val="20"/>
        </w:rPr>
        <w:t xml:space="preserve"> une entité responsable des procédures d’insolvabilité dont relève l’administrateur du </w:t>
      </w:r>
      <w:r w:rsidR="00637D3C" w:rsidRPr="009D03DC">
        <w:rPr>
          <w:sz w:val="20"/>
        </w:rPr>
        <w:t xml:space="preserve">taux recommandé pour le dollar canadien </w:t>
      </w:r>
      <w:r w:rsidRPr="009D03DC">
        <w:rPr>
          <w:sz w:val="20"/>
        </w:rPr>
        <w:t xml:space="preserve">ou encore un tribunal ou une entité disposant de pouvoirs comparables en matière d’insolvabilité ou de résolution sur l’administrateur du </w:t>
      </w:r>
      <w:r w:rsidR="00637D3C" w:rsidRPr="009D03DC">
        <w:rPr>
          <w:sz w:val="20"/>
        </w:rPr>
        <w:t>taux recommandé pour le dollar canadien</w:t>
      </w:r>
      <w:r w:rsidRPr="009D03DC">
        <w:rPr>
          <w:sz w:val="20"/>
        </w:rPr>
        <w:t xml:space="preserve">, indiquant que </w:t>
      </w:r>
      <w:r w:rsidR="00637D3C" w:rsidRPr="009D03DC">
        <w:rPr>
          <w:sz w:val="20"/>
        </w:rPr>
        <w:t xml:space="preserve">cet </w:t>
      </w:r>
      <w:r w:rsidRPr="009D03DC">
        <w:rPr>
          <w:sz w:val="20"/>
        </w:rPr>
        <w:t xml:space="preserve">administrateur a cessé ou cessera de fournir le </w:t>
      </w:r>
      <w:r w:rsidR="00637D3C" w:rsidRPr="009D03DC">
        <w:rPr>
          <w:sz w:val="20"/>
        </w:rPr>
        <w:t xml:space="preserve">taux recommandé pour le dollar canadien </w:t>
      </w:r>
      <w:r w:rsidRPr="009D03DC">
        <w:rPr>
          <w:sz w:val="20"/>
        </w:rPr>
        <w:t>définitivement ou pour une durée indéterminée, dans la mesure où</w:t>
      </w:r>
      <w:r w:rsidR="00E64632" w:rsidRPr="0069465C">
        <w:rPr>
          <w:sz w:val="20"/>
        </w:rPr>
        <w:t>, à la date de la déclaration ou de la publication,</w:t>
      </w:r>
      <w:r w:rsidRPr="009D03DC">
        <w:rPr>
          <w:sz w:val="20"/>
        </w:rPr>
        <w:t xml:space="preserve"> aucun </w:t>
      </w:r>
      <w:r w:rsidR="00E64632">
        <w:rPr>
          <w:sz w:val="20"/>
        </w:rPr>
        <w:t>successeur</w:t>
      </w:r>
      <w:r w:rsidR="00637D3C" w:rsidRPr="009D03DC">
        <w:rPr>
          <w:sz w:val="20"/>
        </w:rPr>
        <w:t xml:space="preserve"> </w:t>
      </w:r>
      <w:r w:rsidR="00E64632" w:rsidRPr="009D03DC">
        <w:rPr>
          <w:sz w:val="20"/>
        </w:rPr>
        <w:t xml:space="preserve">ne prend la relève </w:t>
      </w:r>
      <w:r w:rsidR="00E64632">
        <w:rPr>
          <w:sz w:val="20"/>
        </w:rPr>
        <w:t>à titre d’</w:t>
      </w:r>
      <w:r w:rsidRPr="009D03DC">
        <w:rPr>
          <w:sz w:val="20"/>
        </w:rPr>
        <w:t>administrateur</w:t>
      </w:r>
      <w:r w:rsidR="00E64632">
        <w:rPr>
          <w:sz w:val="20"/>
        </w:rPr>
        <w:t xml:space="preserve"> </w:t>
      </w:r>
      <w:r w:rsidR="00E64632" w:rsidRPr="009D03DC">
        <w:rPr>
          <w:sz w:val="20"/>
        </w:rPr>
        <w:t>du taux recommandé pour le dollar canadien</w:t>
      </w:r>
      <w:r w:rsidRPr="009D03DC">
        <w:rPr>
          <w:sz w:val="20"/>
        </w:rPr>
        <w:t>.</w:t>
      </w:r>
      <w:bookmarkEnd w:id="96"/>
    </w:p>
    <w:bookmarkEnd w:id="3"/>
    <w:p w14:paraId="10E2876F" w14:textId="77777777" w:rsidR="00256369" w:rsidRDefault="00AB0CFF" w:rsidP="00256369">
      <w:pPr>
        <w:pStyle w:val="OHHpara"/>
        <w:rPr>
          <w:sz w:val="20"/>
        </w:rPr>
      </w:pPr>
      <w:r w:rsidRPr="009D03DC">
        <w:rPr>
          <w:sz w:val="20"/>
        </w:rPr>
        <w:t>« taux cible de la Banque du Canada » désigne le taux cible du financement à un jour fixé par la Banque du Canada et publié périodiquement sur son site Web.</w:t>
      </w:r>
    </w:p>
    <w:p w14:paraId="5D726631" w14:textId="77777777" w:rsidR="00D9695E" w:rsidRPr="009D03DC" w:rsidRDefault="00AB0CFF" w:rsidP="00256369">
      <w:pPr>
        <w:pStyle w:val="OHHpara"/>
        <w:rPr>
          <w:sz w:val="20"/>
        </w:rPr>
      </w:pPr>
      <w:r>
        <w:rPr>
          <w:sz w:val="20"/>
        </w:rPr>
        <w:t>« t</w:t>
      </w:r>
      <w:r w:rsidRPr="009D03DC">
        <w:rPr>
          <w:sz w:val="20"/>
        </w:rPr>
        <w:t>aux CORRA</w:t>
      </w:r>
      <w:r>
        <w:rPr>
          <w:sz w:val="20"/>
        </w:rPr>
        <w:t> » désigne le</w:t>
      </w:r>
      <w:r w:rsidRPr="009D03DC">
        <w:rPr>
          <w:sz w:val="20"/>
        </w:rPr>
        <w:t xml:space="preserve"> </w:t>
      </w:r>
      <w:r>
        <w:rPr>
          <w:sz w:val="20"/>
        </w:rPr>
        <w:t>t</w:t>
      </w:r>
      <w:r w:rsidRPr="009D03DC">
        <w:rPr>
          <w:sz w:val="20"/>
        </w:rPr>
        <w:t>aux des opérations de pension à un jour (</w:t>
      </w:r>
      <w:r w:rsidRPr="007B5AC2">
        <w:rPr>
          <w:i/>
          <w:iCs/>
          <w:sz w:val="20"/>
        </w:rPr>
        <w:t>Canadian Overnight Repo Rate Average</w:t>
      </w:r>
      <w:r w:rsidRPr="009D03DC">
        <w:rPr>
          <w:sz w:val="20"/>
        </w:rPr>
        <w:t>)</w:t>
      </w:r>
      <w:r>
        <w:rPr>
          <w:sz w:val="20"/>
        </w:rPr>
        <w:t xml:space="preserve"> </w:t>
      </w:r>
      <w:r w:rsidRPr="009D03DC">
        <w:rPr>
          <w:sz w:val="20"/>
        </w:rPr>
        <w:t xml:space="preserve">administré par la Banque du Canada (ou son successeur à titre d’administrateur). </w:t>
      </w:r>
    </w:p>
    <w:p w14:paraId="08C760D6" w14:textId="77777777" w:rsidR="00256369" w:rsidRDefault="00AB0CFF" w:rsidP="00256369">
      <w:pPr>
        <w:pStyle w:val="OHHpara"/>
        <w:rPr>
          <w:sz w:val="20"/>
        </w:rPr>
      </w:pPr>
      <w:r w:rsidRPr="009D03DC">
        <w:rPr>
          <w:sz w:val="20"/>
        </w:rPr>
        <w:t xml:space="preserve">« taux de rechange applicable » </w:t>
      </w:r>
      <w:r>
        <w:rPr>
          <w:sz w:val="20"/>
        </w:rPr>
        <w:t>désigne le</w:t>
      </w:r>
      <w:r w:rsidRPr="009D03DC">
        <w:rPr>
          <w:sz w:val="20"/>
        </w:rPr>
        <w:t xml:space="preserve"> taux CORRA quotidien composé, </w:t>
      </w:r>
      <w:r>
        <w:rPr>
          <w:sz w:val="20"/>
        </w:rPr>
        <w:t>le</w:t>
      </w:r>
      <w:r w:rsidRPr="009D03DC">
        <w:rPr>
          <w:sz w:val="20"/>
        </w:rPr>
        <w:t xml:space="preserve"> taux CORRA, </w:t>
      </w:r>
      <w:r>
        <w:rPr>
          <w:sz w:val="20"/>
        </w:rPr>
        <w:t>le</w:t>
      </w:r>
      <w:r w:rsidRPr="009D03DC">
        <w:rPr>
          <w:sz w:val="20"/>
        </w:rPr>
        <w:t xml:space="preserve"> taux recommandé pour le dollar canadien ou </w:t>
      </w:r>
      <w:r>
        <w:rPr>
          <w:sz w:val="20"/>
        </w:rPr>
        <w:t>le</w:t>
      </w:r>
      <w:r w:rsidRPr="009D03DC">
        <w:rPr>
          <w:sz w:val="20"/>
        </w:rPr>
        <w:t xml:space="preserve"> taux cible de la Banque du Canada, selon le cas.</w:t>
      </w:r>
    </w:p>
    <w:p w14:paraId="63DAAEF5" w14:textId="77777777" w:rsidR="000D0C0C" w:rsidRPr="009D03DC" w:rsidRDefault="00AB0CFF" w:rsidP="00256369">
      <w:pPr>
        <w:pStyle w:val="OHHpara"/>
        <w:rPr>
          <w:sz w:val="20"/>
        </w:rPr>
      </w:pPr>
      <w:r>
        <w:rPr>
          <w:sz w:val="20"/>
        </w:rPr>
        <w:lastRenderedPageBreak/>
        <w:t>« i</w:t>
      </w:r>
      <w:r w:rsidRPr="009D03DC">
        <w:rPr>
          <w:sz w:val="20"/>
        </w:rPr>
        <w:t>ndice du taux CORRA composé</w:t>
      </w:r>
      <w:r>
        <w:rPr>
          <w:sz w:val="20"/>
        </w:rPr>
        <w:t> » désigne la m</w:t>
      </w:r>
      <w:r w:rsidRPr="009D03DC">
        <w:rPr>
          <w:sz w:val="20"/>
        </w:rPr>
        <w:t>esure de l’incidence cumulative des valeurs du taux CORRA composé au fil du temps. L’indice est administré et publié par la Banque du Canada (ou son successeur à titre d’administrateur).</w:t>
      </w:r>
    </w:p>
    <w:p w14:paraId="5776D634" w14:textId="77777777" w:rsidR="00256369" w:rsidRPr="009D03DC" w:rsidRDefault="00AB0CFF" w:rsidP="00256369">
      <w:pPr>
        <w:pStyle w:val="OHHpara"/>
        <w:rPr>
          <w:sz w:val="20"/>
        </w:rPr>
      </w:pPr>
      <w:r w:rsidRPr="009D03DC">
        <w:rPr>
          <w:sz w:val="20"/>
        </w:rPr>
        <w:t xml:space="preserve">« taux recommandé pour le dollar canadien » </w:t>
      </w:r>
      <w:r>
        <w:rPr>
          <w:sz w:val="20"/>
        </w:rPr>
        <w:t>désigne le</w:t>
      </w:r>
      <w:r w:rsidRPr="009D03DC">
        <w:rPr>
          <w:sz w:val="20"/>
        </w:rPr>
        <w:t xml:space="preserve"> taux (majoré de tout écart ou ajustement) recommandé en remplacement du taux CORRA par un comité officiellement appuyé ou mis sur pied par la Banque du Canada à cette fin (le calcul pouvant avoir été effectué par la Banque du Canada ou un autre administrateur) et fourni par l’administrateur de ce taux (ou un administrateur subséquent), ou autrement, publié par un distributeur autorisé.</w:t>
      </w:r>
    </w:p>
    <w:p w14:paraId="050463A2" w14:textId="77777777" w:rsidR="00256369" w:rsidRPr="00614504" w:rsidRDefault="00256369" w:rsidP="006E7B73">
      <w:pPr>
        <w:pStyle w:val="OHHpara"/>
        <w:rPr>
          <w:sz w:val="20"/>
        </w:rPr>
      </w:pPr>
    </w:p>
    <w:bookmarkEnd w:id="4"/>
    <w:p w14:paraId="146EF00E" w14:textId="77777777" w:rsidR="00310F78" w:rsidRPr="00614504" w:rsidRDefault="00310F78" w:rsidP="006E7B73">
      <w:pPr>
        <w:pStyle w:val="OHHpara"/>
        <w:rPr>
          <w:sz w:val="20"/>
        </w:rPr>
      </w:pPr>
    </w:p>
    <w:sectPr w:rsidR="00310F78" w:rsidRPr="00614504" w:rsidSect="00224D8A">
      <w:headerReference w:type="even" r:id="rId8"/>
      <w:headerReference w:type="default" r:id="rId9"/>
      <w:footerReference w:type="default" r:id="rId10"/>
      <w:headerReference w:type="first" r:id="rId11"/>
      <w:pgSz w:w="12240" w:h="15840"/>
      <w:pgMar w:top="432" w:right="1440" w:bottom="1008" w:left="1440" w:header="706" w:footer="7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F244B" w14:textId="77777777" w:rsidR="004E3D91" w:rsidRDefault="004E3D91">
      <w:r>
        <w:separator/>
      </w:r>
    </w:p>
  </w:endnote>
  <w:endnote w:type="continuationSeparator" w:id="0">
    <w:p w14:paraId="40C1B243" w14:textId="77777777" w:rsidR="004E3D91" w:rsidRDefault="004E3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ngsana New">
    <w:altName w:val="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F591F" w14:textId="3757164D" w:rsidR="00136DFA" w:rsidRDefault="00AB0CFF">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98790" w14:textId="77777777" w:rsidR="004E3D91" w:rsidRDefault="004E3D91">
      <w:r>
        <w:separator/>
      </w:r>
    </w:p>
  </w:footnote>
  <w:footnote w:type="continuationSeparator" w:id="0">
    <w:p w14:paraId="77F5B482" w14:textId="77777777" w:rsidR="004E3D91" w:rsidRDefault="004E3D91">
      <w:r>
        <w:continuationSeparator/>
      </w:r>
    </w:p>
  </w:footnote>
  <w:footnote w:id="1">
    <w:p w14:paraId="7550FF39" w14:textId="77777777" w:rsidR="00256086" w:rsidRPr="006F7A68" w:rsidRDefault="00AB0CFF" w:rsidP="00256086">
      <w:pPr>
        <w:pStyle w:val="FootnoteText"/>
      </w:pPr>
      <w:r w:rsidRPr="00AF1655">
        <w:rPr>
          <w:rStyle w:val="FootnoteReference"/>
        </w:rPr>
        <w:footnoteRef/>
      </w:r>
      <w:r w:rsidRPr="00AF1655">
        <w:t xml:space="preserve"> </w:t>
      </w:r>
      <w:bookmarkStart w:id="14" w:name="lt_pId113"/>
      <w:r w:rsidR="00187BF0">
        <w:tab/>
      </w:r>
      <w:r w:rsidRPr="00AF1655">
        <w:rPr>
          <w:sz w:val="16"/>
          <w:szCs w:val="16"/>
        </w:rPr>
        <w:t>Une not</w:t>
      </w:r>
      <w:r w:rsidR="007D712D">
        <w:rPr>
          <w:sz w:val="16"/>
          <w:szCs w:val="16"/>
        </w:rPr>
        <w:t>e</w:t>
      </w:r>
      <w:r w:rsidRPr="00AF1655">
        <w:rPr>
          <w:sz w:val="16"/>
          <w:szCs w:val="16"/>
        </w:rPr>
        <w:t xml:space="preserve"> de crédit n’est pas une recommandation </w:t>
      </w:r>
      <w:r w:rsidR="0059150E">
        <w:rPr>
          <w:sz w:val="16"/>
          <w:szCs w:val="16"/>
        </w:rPr>
        <w:t>en vue de l’achat</w:t>
      </w:r>
      <w:r w:rsidRPr="00AF1655">
        <w:rPr>
          <w:sz w:val="16"/>
          <w:szCs w:val="16"/>
        </w:rPr>
        <w:t xml:space="preserve">, de </w:t>
      </w:r>
      <w:r w:rsidR="0059150E">
        <w:rPr>
          <w:sz w:val="16"/>
          <w:szCs w:val="16"/>
        </w:rPr>
        <w:t xml:space="preserve">la </w:t>
      </w:r>
      <w:r w:rsidRPr="00AF1655">
        <w:rPr>
          <w:sz w:val="16"/>
          <w:szCs w:val="16"/>
        </w:rPr>
        <w:t>vente ou de</w:t>
      </w:r>
      <w:r w:rsidR="0059150E">
        <w:rPr>
          <w:sz w:val="16"/>
          <w:szCs w:val="16"/>
        </w:rPr>
        <w:t xml:space="preserve"> la</w:t>
      </w:r>
      <w:r w:rsidRPr="00AF1655">
        <w:rPr>
          <w:sz w:val="16"/>
          <w:szCs w:val="16"/>
        </w:rPr>
        <w:t xml:space="preserve"> détention d</w:t>
      </w:r>
      <w:r w:rsidR="0059150E">
        <w:rPr>
          <w:sz w:val="16"/>
          <w:szCs w:val="16"/>
        </w:rPr>
        <w:t>’un titre. Elle</w:t>
      </w:r>
      <w:r w:rsidRPr="00AF1655">
        <w:rPr>
          <w:sz w:val="16"/>
          <w:szCs w:val="16"/>
        </w:rPr>
        <w:t xml:space="preserve"> peut faire l’objet d’une révision </w:t>
      </w:r>
      <w:r w:rsidR="009D03DC">
        <w:rPr>
          <w:sz w:val="16"/>
          <w:szCs w:val="16"/>
        </w:rPr>
        <w:t>o</w:t>
      </w:r>
      <w:r w:rsidRPr="00AF1655">
        <w:rPr>
          <w:sz w:val="16"/>
          <w:szCs w:val="16"/>
        </w:rPr>
        <w:t xml:space="preserve">u </w:t>
      </w:r>
      <w:r w:rsidR="0059150E">
        <w:rPr>
          <w:sz w:val="16"/>
          <w:szCs w:val="16"/>
        </w:rPr>
        <w:t>être retirée</w:t>
      </w:r>
      <w:r w:rsidRPr="00AF1655">
        <w:rPr>
          <w:sz w:val="16"/>
          <w:szCs w:val="16"/>
        </w:rPr>
        <w:t xml:space="preserve"> à tout moment.</w:t>
      </w:r>
      <w:bookmarkEnd w:id="14"/>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A567B" w14:textId="77777777" w:rsidR="000F48E6" w:rsidRDefault="000F48E6">
    <w:pPr>
      <w:pStyle w:val="Header"/>
    </w:pPr>
  </w:p>
  <w:p w14:paraId="36F48314" w14:textId="77777777" w:rsidR="000F48E6" w:rsidRDefault="000F48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131E" w14:textId="77777777" w:rsidR="006F7A68" w:rsidRDefault="00AB0CFF">
    <w:pPr>
      <w:pStyle w:val="Heade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A4368" w:rsidRPr="0016720E" w14:paraId="5280D6FF" w14:textId="77777777" w:rsidTr="00584ACC">
      <w:tc>
        <w:tcPr>
          <w:tcW w:w="4675" w:type="dxa"/>
          <w:tcMar>
            <w:left w:w="0" w:type="dxa"/>
            <w:right w:w="0" w:type="dxa"/>
          </w:tcMar>
        </w:tcPr>
        <w:p w14:paraId="78694937" w14:textId="77777777" w:rsidR="00CA4368" w:rsidRPr="0016720E" w:rsidRDefault="00CA4368" w:rsidP="00CA4368">
          <w:pPr>
            <w:pStyle w:val="Header"/>
          </w:pPr>
          <w:r>
            <w:drawing>
              <wp:inline distT="0" distB="0" distL="0" distR="0" wp14:anchorId="33C4DD76" wp14:editId="2270D621">
                <wp:extent cx="1936750" cy="328585"/>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15779" cy="341993"/>
                        </a:xfrm>
                        <a:prstGeom prst="rect">
                          <a:avLst/>
                        </a:prstGeom>
                      </pic:spPr>
                    </pic:pic>
                  </a:graphicData>
                </a:graphic>
              </wp:inline>
            </w:drawing>
          </w:r>
        </w:p>
      </w:tc>
      <w:tc>
        <w:tcPr>
          <w:tcW w:w="4675" w:type="dxa"/>
          <w:tcMar>
            <w:left w:w="0" w:type="dxa"/>
            <w:right w:w="0" w:type="dxa"/>
          </w:tcMar>
        </w:tcPr>
        <w:p w14:paraId="7A2AAECD" w14:textId="77777777" w:rsidR="00CA4368" w:rsidRPr="0016720E" w:rsidRDefault="00CA4368" w:rsidP="00CA4368">
          <w:pPr>
            <w:pStyle w:val="Header"/>
            <w:jc w:val="right"/>
          </w:pPr>
          <w:r w:rsidRPr="0016720E">
            <w:t xml:space="preserve">30 </w:t>
          </w:r>
          <w:r>
            <w:t>juin</w:t>
          </w:r>
          <w:r w:rsidRPr="0016720E">
            <w:t xml:space="preserve"> 2023</w:t>
          </w:r>
        </w:p>
      </w:tc>
    </w:tr>
  </w:tbl>
  <w:p w14:paraId="1123F63C" w14:textId="77777777" w:rsidR="006D16A1" w:rsidRDefault="006D16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7C292F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B0C2A0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5D85D6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28CDF3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53625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CFF3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FA625A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E0DF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A68AFB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2249E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034B6E"/>
    <w:multiLevelType w:val="hybridMultilevel"/>
    <w:tmpl w:val="E348FB5A"/>
    <w:lvl w:ilvl="0" w:tplc="2298A31E">
      <w:start w:val="1"/>
      <w:numFmt w:val="decimal"/>
      <w:lvlText w:val="(%1)"/>
      <w:lvlJc w:val="left"/>
      <w:pPr>
        <w:ind w:left="540" w:hanging="360"/>
      </w:pPr>
      <w:rPr>
        <w:rFonts w:hint="default"/>
        <w:b/>
      </w:rPr>
    </w:lvl>
    <w:lvl w:ilvl="1" w:tplc="57E0C878" w:tentative="1">
      <w:start w:val="1"/>
      <w:numFmt w:val="lowerLetter"/>
      <w:lvlText w:val="%2."/>
      <w:lvlJc w:val="left"/>
      <w:pPr>
        <w:ind w:left="1260" w:hanging="360"/>
      </w:pPr>
    </w:lvl>
    <w:lvl w:ilvl="2" w:tplc="31EEC170" w:tentative="1">
      <w:start w:val="1"/>
      <w:numFmt w:val="lowerRoman"/>
      <w:lvlText w:val="%3."/>
      <w:lvlJc w:val="right"/>
      <w:pPr>
        <w:ind w:left="1980" w:hanging="180"/>
      </w:pPr>
    </w:lvl>
    <w:lvl w:ilvl="3" w:tplc="60CE11F4" w:tentative="1">
      <w:start w:val="1"/>
      <w:numFmt w:val="decimal"/>
      <w:lvlText w:val="%4."/>
      <w:lvlJc w:val="left"/>
      <w:pPr>
        <w:ind w:left="2700" w:hanging="360"/>
      </w:pPr>
    </w:lvl>
    <w:lvl w:ilvl="4" w:tplc="11DA3B7A" w:tentative="1">
      <w:start w:val="1"/>
      <w:numFmt w:val="lowerLetter"/>
      <w:lvlText w:val="%5."/>
      <w:lvlJc w:val="left"/>
      <w:pPr>
        <w:ind w:left="3420" w:hanging="360"/>
      </w:pPr>
    </w:lvl>
    <w:lvl w:ilvl="5" w:tplc="FF7CE32C" w:tentative="1">
      <w:start w:val="1"/>
      <w:numFmt w:val="lowerRoman"/>
      <w:lvlText w:val="%6."/>
      <w:lvlJc w:val="right"/>
      <w:pPr>
        <w:ind w:left="4140" w:hanging="180"/>
      </w:pPr>
    </w:lvl>
    <w:lvl w:ilvl="6" w:tplc="D3528538" w:tentative="1">
      <w:start w:val="1"/>
      <w:numFmt w:val="decimal"/>
      <w:lvlText w:val="%7."/>
      <w:lvlJc w:val="left"/>
      <w:pPr>
        <w:ind w:left="4860" w:hanging="360"/>
      </w:pPr>
    </w:lvl>
    <w:lvl w:ilvl="7" w:tplc="39BAFF2C" w:tentative="1">
      <w:start w:val="1"/>
      <w:numFmt w:val="lowerLetter"/>
      <w:lvlText w:val="%8."/>
      <w:lvlJc w:val="left"/>
      <w:pPr>
        <w:ind w:left="5580" w:hanging="360"/>
      </w:pPr>
    </w:lvl>
    <w:lvl w:ilvl="8" w:tplc="C438327E" w:tentative="1">
      <w:start w:val="1"/>
      <w:numFmt w:val="lowerRoman"/>
      <w:lvlText w:val="%9."/>
      <w:lvlJc w:val="right"/>
      <w:pPr>
        <w:ind w:left="6300" w:hanging="180"/>
      </w:pPr>
    </w:lvl>
  </w:abstractNum>
  <w:abstractNum w:abstractNumId="11" w15:restartNumberingAfterBreak="0">
    <w:nsid w:val="1C104875"/>
    <w:multiLevelType w:val="hybridMultilevel"/>
    <w:tmpl w:val="38649C0E"/>
    <w:lvl w:ilvl="0" w:tplc="03FE63F4">
      <w:start w:val="1"/>
      <w:numFmt w:val="upperLetter"/>
      <w:lvlText w:val="(%1)"/>
      <w:lvlJc w:val="left"/>
      <w:pPr>
        <w:ind w:left="720" w:hanging="360"/>
      </w:pPr>
      <w:rPr>
        <w:rFonts w:hint="default"/>
      </w:rPr>
    </w:lvl>
    <w:lvl w:ilvl="1" w:tplc="E22EBB72" w:tentative="1">
      <w:start w:val="1"/>
      <w:numFmt w:val="lowerLetter"/>
      <w:lvlText w:val="%2."/>
      <w:lvlJc w:val="left"/>
      <w:pPr>
        <w:ind w:left="1440" w:hanging="360"/>
      </w:pPr>
    </w:lvl>
    <w:lvl w:ilvl="2" w:tplc="AE1C1602" w:tentative="1">
      <w:start w:val="1"/>
      <w:numFmt w:val="lowerRoman"/>
      <w:lvlText w:val="%3."/>
      <w:lvlJc w:val="right"/>
      <w:pPr>
        <w:ind w:left="2160" w:hanging="180"/>
      </w:pPr>
    </w:lvl>
    <w:lvl w:ilvl="3" w:tplc="AE4AD834" w:tentative="1">
      <w:start w:val="1"/>
      <w:numFmt w:val="decimal"/>
      <w:lvlText w:val="%4."/>
      <w:lvlJc w:val="left"/>
      <w:pPr>
        <w:ind w:left="2880" w:hanging="360"/>
      </w:pPr>
    </w:lvl>
    <w:lvl w:ilvl="4" w:tplc="E2C891B8" w:tentative="1">
      <w:start w:val="1"/>
      <w:numFmt w:val="lowerLetter"/>
      <w:lvlText w:val="%5."/>
      <w:lvlJc w:val="left"/>
      <w:pPr>
        <w:ind w:left="3600" w:hanging="360"/>
      </w:pPr>
    </w:lvl>
    <w:lvl w:ilvl="5" w:tplc="D7508F90" w:tentative="1">
      <w:start w:val="1"/>
      <w:numFmt w:val="lowerRoman"/>
      <w:lvlText w:val="%6."/>
      <w:lvlJc w:val="right"/>
      <w:pPr>
        <w:ind w:left="4320" w:hanging="180"/>
      </w:pPr>
    </w:lvl>
    <w:lvl w:ilvl="6" w:tplc="0EE47E82" w:tentative="1">
      <w:start w:val="1"/>
      <w:numFmt w:val="decimal"/>
      <w:lvlText w:val="%7."/>
      <w:lvlJc w:val="left"/>
      <w:pPr>
        <w:ind w:left="5040" w:hanging="360"/>
      </w:pPr>
    </w:lvl>
    <w:lvl w:ilvl="7" w:tplc="A08831E8" w:tentative="1">
      <w:start w:val="1"/>
      <w:numFmt w:val="lowerLetter"/>
      <w:lvlText w:val="%8."/>
      <w:lvlJc w:val="left"/>
      <w:pPr>
        <w:ind w:left="5760" w:hanging="360"/>
      </w:pPr>
    </w:lvl>
    <w:lvl w:ilvl="8" w:tplc="D780C8FC" w:tentative="1">
      <w:start w:val="1"/>
      <w:numFmt w:val="lowerRoman"/>
      <w:lvlText w:val="%9."/>
      <w:lvlJc w:val="right"/>
      <w:pPr>
        <w:ind w:left="6480" w:hanging="180"/>
      </w:pPr>
    </w:lvl>
  </w:abstractNum>
  <w:abstractNum w:abstractNumId="12" w15:restartNumberingAfterBreak="0">
    <w:nsid w:val="20906EC9"/>
    <w:multiLevelType w:val="hybridMultilevel"/>
    <w:tmpl w:val="A9827A84"/>
    <w:lvl w:ilvl="0" w:tplc="B3429602">
      <w:start w:val="1"/>
      <w:numFmt w:val="bullet"/>
      <w:lvlText w:val=""/>
      <w:lvlJc w:val="left"/>
      <w:pPr>
        <w:ind w:left="720" w:hanging="360"/>
      </w:pPr>
      <w:rPr>
        <w:rFonts w:ascii="Symbol" w:hAnsi="Symbol" w:hint="default"/>
      </w:rPr>
    </w:lvl>
    <w:lvl w:ilvl="1" w:tplc="3AC4F124" w:tentative="1">
      <w:start w:val="1"/>
      <w:numFmt w:val="bullet"/>
      <w:lvlText w:val="o"/>
      <w:lvlJc w:val="left"/>
      <w:pPr>
        <w:ind w:left="1440" w:hanging="360"/>
      </w:pPr>
      <w:rPr>
        <w:rFonts w:ascii="Courier New" w:hAnsi="Courier New" w:cs="Courier New" w:hint="default"/>
      </w:rPr>
    </w:lvl>
    <w:lvl w:ilvl="2" w:tplc="AC2A7AF0" w:tentative="1">
      <w:start w:val="1"/>
      <w:numFmt w:val="bullet"/>
      <w:lvlText w:val=""/>
      <w:lvlJc w:val="left"/>
      <w:pPr>
        <w:ind w:left="2160" w:hanging="360"/>
      </w:pPr>
      <w:rPr>
        <w:rFonts w:ascii="Wingdings" w:hAnsi="Wingdings" w:hint="default"/>
      </w:rPr>
    </w:lvl>
    <w:lvl w:ilvl="3" w:tplc="E4CC1D24" w:tentative="1">
      <w:start w:val="1"/>
      <w:numFmt w:val="bullet"/>
      <w:lvlText w:val=""/>
      <w:lvlJc w:val="left"/>
      <w:pPr>
        <w:ind w:left="2880" w:hanging="360"/>
      </w:pPr>
      <w:rPr>
        <w:rFonts w:ascii="Symbol" w:hAnsi="Symbol" w:hint="default"/>
      </w:rPr>
    </w:lvl>
    <w:lvl w:ilvl="4" w:tplc="49080F42" w:tentative="1">
      <w:start w:val="1"/>
      <w:numFmt w:val="bullet"/>
      <w:lvlText w:val="o"/>
      <w:lvlJc w:val="left"/>
      <w:pPr>
        <w:ind w:left="3600" w:hanging="360"/>
      </w:pPr>
      <w:rPr>
        <w:rFonts w:ascii="Courier New" w:hAnsi="Courier New" w:cs="Courier New" w:hint="default"/>
      </w:rPr>
    </w:lvl>
    <w:lvl w:ilvl="5" w:tplc="BAB68AE4" w:tentative="1">
      <w:start w:val="1"/>
      <w:numFmt w:val="bullet"/>
      <w:lvlText w:val=""/>
      <w:lvlJc w:val="left"/>
      <w:pPr>
        <w:ind w:left="4320" w:hanging="360"/>
      </w:pPr>
      <w:rPr>
        <w:rFonts w:ascii="Wingdings" w:hAnsi="Wingdings" w:hint="default"/>
      </w:rPr>
    </w:lvl>
    <w:lvl w:ilvl="6" w:tplc="E452CFAE" w:tentative="1">
      <w:start w:val="1"/>
      <w:numFmt w:val="bullet"/>
      <w:lvlText w:val=""/>
      <w:lvlJc w:val="left"/>
      <w:pPr>
        <w:ind w:left="5040" w:hanging="360"/>
      </w:pPr>
      <w:rPr>
        <w:rFonts w:ascii="Symbol" w:hAnsi="Symbol" w:hint="default"/>
      </w:rPr>
    </w:lvl>
    <w:lvl w:ilvl="7" w:tplc="E19CB884" w:tentative="1">
      <w:start w:val="1"/>
      <w:numFmt w:val="bullet"/>
      <w:lvlText w:val="o"/>
      <w:lvlJc w:val="left"/>
      <w:pPr>
        <w:ind w:left="5760" w:hanging="360"/>
      </w:pPr>
      <w:rPr>
        <w:rFonts w:ascii="Courier New" w:hAnsi="Courier New" w:cs="Courier New" w:hint="default"/>
      </w:rPr>
    </w:lvl>
    <w:lvl w:ilvl="8" w:tplc="50207422" w:tentative="1">
      <w:start w:val="1"/>
      <w:numFmt w:val="bullet"/>
      <w:lvlText w:val=""/>
      <w:lvlJc w:val="left"/>
      <w:pPr>
        <w:ind w:left="6480" w:hanging="360"/>
      </w:pPr>
      <w:rPr>
        <w:rFonts w:ascii="Wingdings" w:hAnsi="Wingdings" w:hint="default"/>
      </w:rPr>
    </w:lvl>
  </w:abstractNum>
  <w:abstractNum w:abstractNumId="13" w15:restartNumberingAfterBreak="0">
    <w:nsid w:val="28115FC6"/>
    <w:multiLevelType w:val="hybridMultilevel"/>
    <w:tmpl w:val="003C5AD2"/>
    <w:lvl w:ilvl="0" w:tplc="2392DBDC">
      <w:start w:val="1"/>
      <w:numFmt w:val="decimal"/>
      <w:lvlText w:val="%1."/>
      <w:lvlJc w:val="left"/>
      <w:pPr>
        <w:ind w:left="1080" w:hanging="360"/>
      </w:pPr>
    </w:lvl>
    <w:lvl w:ilvl="1" w:tplc="49D6E77E" w:tentative="1">
      <w:start w:val="1"/>
      <w:numFmt w:val="lowerLetter"/>
      <w:lvlText w:val="%2."/>
      <w:lvlJc w:val="left"/>
      <w:pPr>
        <w:ind w:left="1800" w:hanging="360"/>
      </w:pPr>
    </w:lvl>
    <w:lvl w:ilvl="2" w:tplc="53543B30" w:tentative="1">
      <w:start w:val="1"/>
      <w:numFmt w:val="lowerRoman"/>
      <w:lvlText w:val="%3."/>
      <w:lvlJc w:val="right"/>
      <w:pPr>
        <w:ind w:left="2520" w:hanging="180"/>
      </w:pPr>
    </w:lvl>
    <w:lvl w:ilvl="3" w:tplc="161C8054" w:tentative="1">
      <w:start w:val="1"/>
      <w:numFmt w:val="decimal"/>
      <w:lvlText w:val="%4."/>
      <w:lvlJc w:val="left"/>
      <w:pPr>
        <w:ind w:left="3240" w:hanging="360"/>
      </w:pPr>
    </w:lvl>
    <w:lvl w:ilvl="4" w:tplc="AACE2776" w:tentative="1">
      <w:start w:val="1"/>
      <w:numFmt w:val="lowerLetter"/>
      <w:lvlText w:val="%5."/>
      <w:lvlJc w:val="left"/>
      <w:pPr>
        <w:ind w:left="3960" w:hanging="360"/>
      </w:pPr>
    </w:lvl>
    <w:lvl w:ilvl="5" w:tplc="3C3AC8EA" w:tentative="1">
      <w:start w:val="1"/>
      <w:numFmt w:val="lowerRoman"/>
      <w:lvlText w:val="%6."/>
      <w:lvlJc w:val="right"/>
      <w:pPr>
        <w:ind w:left="4680" w:hanging="180"/>
      </w:pPr>
    </w:lvl>
    <w:lvl w:ilvl="6" w:tplc="610C8108" w:tentative="1">
      <w:start w:val="1"/>
      <w:numFmt w:val="decimal"/>
      <w:lvlText w:val="%7."/>
      <w:lvlJc w:val="left"/>
      <w:pPr>
        <w:ind w:left="5400" w:hanging="360"/>
      </w:pPr>
    </w:lvl>
    <w:lvl w:ilvl="7" w:tplc="9A2AE1E6" w:tentative="1">
      <w:start w:val="1"/>
      <w:numFmt w:val="lowerLetter"/>
      <w:lvlText w:val="%8."/>
      <w:lvlJc w:val="left"/>
      <w:pPr>
        <w:ind w:left="6120" w:hanging="360"/>
      </w:pPr>
    </w:lvl>
    <w:lvl w:ilvl="8" w:tplc="D0A83CD2" w:tentative="1">
      <w:start w:val="1"/>
      <w:numFmt w:val="lowerRoman"/>
      <w:lvlText w:val="%9."/>
      <w:lvlJc w:val="right"/>
      <w:pPr>
        <w:ind w:left="6840" w:hanging="180"/>
      </w:pPr>
    </w:lvl>
  </w:abstractNum>
  <w:abstractNum w:abstractNumId="14" w15:restartNumberingAfterBreak="0">
    <w:nsid w:val="28C71CC6"/>
    <w:multiLevelType w:val="hybridMultilevel"/>
    <w:tmpl w:val="F95E45EE"/>
    <w:lvl w:ilvl="0" w:tplc="FEDAA65E">
      <w:start w:val="1"/>
      <w:numFmt w:val="decimal"/>
      <w:lvlText w:val="%1."/>
      <w:lvlJc w:val="left"/>
      <w:pPr>
        <w:ind w:left="720" w:hanging="360"/>
      </w:pPr>
    </w:lvl>
    <w:lvl w:ilvl="1" w:tplc="E1BEDAAA" w:tentative="1">
      <w:start w:val="1"/>
      <w:numFmt w:val="lowerLetter"/>
      <w:lvlText w:val="%2."/>
      <w:lvlJc w:val="left"/>
      <w:pPr>
        <w:ind w:left="1440" w:hanging="360"/>
      </w:pPr>
    </w:lvl>
    <w:lvl w:ilvl="2" w:tplc="6B680D88" w:tentative="1">
      <w:start w:val="1"/>
      <w:numFmt w:val="lowerRoman"/>
      <w:lvlText w:val="%3."/>
      <w:lvlJc w:val="right"/>
      <w:pPr>
        <w:ind w:left="2160" w:hanging="180"/>
      </w:pPr>
    </w:lvl>
    <w:lvl w:ilvl="3" w:tplc="786E9C4A" w:tentative="1">
      <w:start w:val="1"/>
      <w:numFmt w:val="decimal"/>
      <w:lvlText w:val="%4."/>
      <w:lvlJc w:val="left"/>
      <w:pPr>
        <w:ind w:left="2880" w:hanging="360"/>
      </w:pPr>
    </w:lvl>
    <w:lvl w:ilvl="4" w:tplc="49B063A8" w:tentative="1">
      <w:start w:val="1"/>
      <w:numFmt w:val="lowerLetter"/>
      <w:lvlText w:val="%5."/>
      <w:lvlJc w:val="left"/>
      <w:pPr>
        <w:ind w:left="3600" w:hanging="360"/>
      </w:pPr>
    </w:lvl>
    <w:lvl w:ilvl="5" w:tplc="BF98BCAC" w:tentative="1">
      <w:start w:val="1"/>
      <w:numFmt w:val="lowerRoman"/>
      <w:lvlText w:val="%6."/>
      <w:lvlJc w:val="right"/>
      <w:pPr>
        <w:ind w:left="4320" w:hanging="180"/>
      </w:pPr>
    </w:lvl>
    <w:lvl w:ilvl="6" w:tplc="C7DCECCA" w:tentative="1">
      <w:start w:val="1"/>
      <w:numFmt w:val="decimal"/>
      <w:lvlText w:val="%7."/>
      <w:lvlJc w:val="left"/>
      <w:pPr>
        <w:ind w:left="5040" w:hanging="360"/>
      </w:pPr>
    </w:lvl>
    <w:lvl w:ilvl="7" w:tplc="9312AFD6" w:tentative="1">
      <w:start w:val="1"/>
      <w:numFmt w:val="lowerLetter"/>
      <w:lvlText w:val="%8."/>
      <w:lvlJc w:val="left"/>
      <w:pPr>
        <w:ind w:left="5760" w:hanging="360"/>
      </w:pPr>
    </w:lvl>
    <w:lvl w:ilvl="8" w:tplc="12F45DCE" w:tentative="1">
      <w:start w:val="1"/>
      <w:numFmt w:val="lowerRoman"/>
      <w:lvlText w:val="%9."/>
      <w:lvlJc w:val="right"/>
      <w:pPr>
        <w:ind w:left="6480" w:hanging="180"/>
      </w:pPr>
    </w:lvl>
  </w:abstractNum>
  <w:abstractNum w:abstractNumId="15" w15:restartNumberingAfterBreak="0">
    <w:nsid w:val="4815139E"/>
    <w:multiLevelType w:val="hybridMultilevel"/>
    <w:tmpl w:val="1EEA79BC"/>
    <w:lvl w:ilvl="0" w:tplc="645C963A">
      <w:start w:val="1"/>
      <w:numFmt w:val="upperLetter"/>
      <w:lvlText w:val="(%1)"/>
      <w:lvlJc w:val="left"/>
      <w:pPr>
        <w:ind w:left="720" w:hanging="360"/>
      </w:pPr>
      <w:rPr>
        <w:rFonts w:hint="default"/>
      </w:rPr>
    </w:lvl>
    <w:lvl w:ilvl="1" w:tplc="C17067AE">
      <w:start w:val="1"/>
      <w:numFmt w:val="lowerLetter"/>
      <w:lvlText w:val="%2."/>
      <w:lvlJc w:val="left"/>
      <w:pPr>
        <w:ind w:left="1440" w:hanging="360"/>
      </w:pPr>
    </w:lvl>
    <w:lvl w:ilvl="2" w:tplc="DCA8A656" w:tentative="1">
      <w:start w:val="1"/>
      <w:numFmt w:val="lowerRoman"/>
      <w:lvlText w:val="%3."/>
      <w:lvlJc w:val="right"/>
      <w:pPr>
        <w:ind w:left="2160" w:hanging="180"/>
      </w:pPr>
    </w:lvl>
    <w:lvl w:ilvl="3" w:tplc="B302CB22" w:tentative="1">
      <w:start w:val="1"/>
      <w:numFmt w:val="decimal"/>
      <w:lvlText w:val="%4."/>
      <w:lvlJc w:val="left"/>
      <w:pPr>
        <w:ind w:left="2880" w:hanging="360"/>
      </w:pPr>
    </w:lvl>
    <w:lvl w:ilvl="4" w:tplc="50E4C74C" w:tentative="1">
      <w:start w:val="1"/>
      <w:numFmt w:val="lowerLetter"/>
      <w:lvlText w:val="%5."/>
      <w:lvlJc w:val="left"/>
      <w:pPr>
        <w:ind w:left="3600" w:hanging="360"/>
      </w:pPr>
    </w:lvl>
    <w:lvl w:ilvl="5" w:tplc="61A0D0EC" w:tentative="1">
      <w:start w:val="1"/>
      <w:numFmt w:val="lowerRoman"/>
      <w:lvlText w:val="%6."/>
      <w:lvlJc w:val="right"/>
      <w:pPr>
        <w:ind w:left="4320" w:hanging="180"/>
      </w:pPr>
    </w:lvl>
    <w:lvl w:ilvl="6" w:tplc="6B422F28" w:tentative="1">
      <w:start w:val="1"/>
      <w:numFmt w:val="decimal"/>
      <w:lvlText w:val="%7."/>
      <w:lvlJc w:val="left"/>
      <w:pPr>
        <w:ind w:left="5040" w:hanging="360"/>
      </w:pPr>
    </w:lvl>
    <w:lvl w:ilvl="7" w:tplc="7570D58A" w:tentative="1">
      <w:start w:val="1"/>
      <w:numFmt w:val="lowerLetter"/>
      <w:lvlText w:val="%8."/>
      <w:lvlJc w:val="left"/>
      <w:pPr>
        <w:ind w:left="5760" w:hanging="360"/>
      </w:pPr>
    </w:lvl>
    <w:lvl w:ilvl="8" w:tplc="9F3E7870" w:tentative="1">
      <w:start w:val="1"/>
      <w:numFmt w:val="lowerRoman"/>
      <w:lvlText w:val="%9."/>
      <w:lvlJc w:val="right"/>
      <w:pPr>
        <w:ind w:left="6480" w:hanging="180"/>
      </w:pPr>
    </w:lvl>
  </w:abstractNum>
  <w:abstractNum w:abstractNumId="16" w15:restartNumberingAfterBreak="0">
    <w:nsid w:val="577025FD"/>
    <w:multiLevelType w:val="hybridMultilevel"/>
    <w:tmpl w:val="E3108128"/>
    <w:lvl w:ilvl="0" w:tplc="2FA4F1A8">
      <w:start w:val="1"/>
      <w:numFmt w:val="upperLetter"/>
      <w:lvlText w:val="(%1)"/>
      <w:lvlJc w:val="left"/>
      <w:pPr>
        <w:ind w:left="1080" w:hanging="720"/>
      </w:pPr>
      <w:rPr>
        <w:rFonts w:hint="default"/>
      </w:rPr>
    </w:lvl>
    <w:lvl w:ilvl="1" w:tplc="38C06B64" w:tentative="1">
      <w:start w:val="1"/>
      <w:numFmt w:val="lowerLetter"/>
      <w:lvlText w:val="%2."/>
      <w:lvlJc w:val="left"/>
      <w:pPr>
        <w:ind w:left="1440" w:hanging="360"/>
      </w:pPr>
    </w:lvl>
    <w:lvl w:ilvl="2" w:tplc="47AC2514" w:tentative="1">
      <w:start w:val="1"/>
      <w:numFmt w:val="lowerRoman"/>
      <w:lvlText w:val="%3."/>
      <w:lvlJc w:val="right"/>
      <w:pPr>
        <w:ind w:left="2160" w:hanging="180"/>
      </w:pPr>
    </w:lvl>
    <w:lvl w:ilvl="3" w:tplc="E3ACD34E" w:tentative="1">
      <w:start w:val="1"/>
      <w:numFmt w:val="decimal"/>
      <w:lvlText w:val="%4."/>
      <w:lvlJc w:val="left"/>
      <w:pPr>
        <w:ind w:left="2880" w:hanging="360"/>
      </w:pPr>
    </w:lvl>
    <w:lvl w:ilvl="4" w:tplc="E9700F1C" w:tentative="1">
      <w:start w:val="1"/>
      <w:numFmt w:val="lowerLetter"/>
      <w:lvlText w:val="%5."/>
      <w:lvlJc w:val="left"/>
      <w:pPr>
        <w:ind w:left="3600" w:hanging="360"/>
      </w:pPr>
    </w:lvl>
    <w:lvl w:ilvl="5" w:tplc="E5127B0C" w:tentative="1">
      <w:start w:val="1"/>
      <w:numFmt w:val="lowerRoman"/>
      <w:lvlText w:val="%6."/>
      <w:lvlJc w:val="right"/>
      <w:pPr>
        <w:ind w:left="4320" w:hanging="180"/>
      </w:pPr>
    </w:lvl>
    <w:lvl w:ilvl="6" w:tplc="FFF88A6C" w:tentative="1">
      <w:start w:val="1"/>
      <w:numFmt w:val="decimal"/>
      <w:lvlText w:val="%7."/>
      <w:lvlJc w:val="left"/>
      <w:pPr>
        <w:ind w:left="5040" w:hanging="360"/>
      </w:pPr>
    </w:lvl>
    <w:lvl w:ilvl="7" w:tplc="B10E12DE" w:tentative="1">
      <w:start w:val="1"/>
      <w:numFmt w:val="lowerLetter"/>
      <w:lvlText w:val="%8."/>
      <w:lvlJc w:val="left"/>
      <w:pPr>
        <w:ind w:left="5760" w:hanging="360"/>
      </w:pPr>
    </w:lvl>
    <w:lvl w:ilvl="8" w:tplc="0E949A3A" w:tentative="1">
      <w:start w:val="1"/>
      <w:numFmt w:val="lowerRoman"/>
      <w:lvlText w:val="%9."/>
      <w:lvlJc w:val="right"/>
      <w:pPr>
        <w:ind w:left="6480" w:hanging="180"/>
      </w:pPr>
    </w:lvl>
  </w:abstractNum>
  <w:abstractNum w:abstractNumId="17" w15:restartNumberingAfterBreak="0">
    <w:nsid w:val="61CF03FB"/>
    <w:multiLevelType w:val="hybridMultilevel"/>
    <w:tmpl w:val="A7F633E6"/>
    <w:lvl w:ilvl="0" w:tplc="85D82B64">
      <w:start w:val="1"/>
      <w:numFmt w:val="decimal"/>
      <w:lvlText w:val="%1."/>
      <w:lvlJc w:val="left"/>
      <w:pPr>
        <w:ind w:left="720" w:hanging="360"/>
      </w:pPr>
    </w:lvl>
    <w:lvl w:ilvl="1" w:tplc="26C4B788" w:tentative="1">
      <w:start w:val="1"/>
      <w:numFmt w:val="lowerLetter"/>
      <w:lvlText w:val="%2."/>
      <w:lvlJc w:val="left"/>
      <w:pPr>
        <w:ind w:left="1440" w:hanging="360"/>
      </w:pPr>
    </w:lvl>
    <w:lvl w:ilvl="2" w:tplc="7F8A33B2" w:tentative="1">
      <w:start w:val="1"/>
      <w:numFmt w:val="lowerRoman"/>
      <w:lvlText w:val="%3."/>
      <w:lvlJc w:val="right"/>
      <w:pPr>
        <w:ind w:left="2160" w:hanging="180"/>
      </w:pPr>
    </w:lvl>
    <w:lvl w:ilvl="3" w:tplc="BFD60402" w:tentative="1">
      <w:start w:val="1"/>
      <w:numFmt w:val="decimal"/>
      <w:lvlText w:val="%4."/>
      <w:lvlJc w:val="left"/>
      <w:pPr>
        <w:ind w:left="2880" w:hanging="360"/>
      </w:pPr>
    </w:lvl>
    <w:lvl w:ilvl="4" w:tplc="224C2B5C" w:tentative="1">
      <w:start w:val="1"/>
      <w:numFmt w:val="lowerLetter"/>
      <w:lvlText w:val="%5."/>
      <w:lvlJc w:val="left"/>
      <w:pPr>
        <w:ind w:left="3600" w:hanging="360"/>
      </w:pPr>
    </w:lvl>
    <w:lvl w:ilvl="5" w:tplc="E5546E68" w:tentative="1">
      <w:start w:val="1"/>
      <w:numFmt w:val="lowerRoman"/>
      <w:lvlText w:val="%6."/>
      <w:lvlJc w:val="right"/>
      <w:pPr>
        <w:ind w:left="4320" w:hanging="180"/>
      </w:pPr>
    </w:lvl>
    <w:lvl w:ilvl="6" w:tplc="FBCC732C" w:tentative="1">
      <w:start w:val="1"/>
      <w:numFmt w:val="decimal"/>
      <w:lvlText w:val="%7."/>
      <w:lvlJc w:val="left"/>
      <w:pPr>
        <w:ind w:left="5040" w:hanging="360"/>
      </w:pPr>
    </w:lvl>
    <w:lvl w:ilvl="7" w:tplc="E36897F2" w:tentative="1">
      <w:start w:val="1"/>
      <w:numFmt w:val="lowerLetter"/>
      <w:lvlText w:val="%8."/>
      <w:lvlJc w:val="left"/>
      <w:pPr>
        <w:ind w:left="5760" w:hanging="360"/>
      </w:pPr>
    </w:lvl>
    <w:lvl w:ilvl="8" w:tplc="A91C2A12" w:tentative="1">
      <w:start w:val="1"/>
      <w:numFmt w:val="lowerRoman"/>
      <w:lvlText w:val="%9."/>
      <w:lvlJc w:val="right"/>
      <w:pPr>
        <w:ind w:left="6480" w:hanging="180"/>
      </w:pPr>
    </w:lvl>
  </w:abstractNum>
  <w:abstractNum w:abstractNumId="18" w15:restartNumberingAfterBreak="0">
    <w:nsid w:val="63AD1DB7"/>
    <w:multiLevelType w:val="hybridMultilevel"/>
    <w:tmpl w:val="5360DB20"/>
    <w:lvl w:ilvl="0" w:tplc="7B04B3BA">
      <w:start w:val="1"/>
      <w:numFmt w:val="upperLetter"/>
      <w:lvlText w:val="(%1)"/>
      <w:lvlJc w:val="left"/>
      <w:pPr>
        <w:ind w:left="1080" w:hanging="720"/>
      </w:pPr>
      <w:rPr>
        <w:rFonts w:hint="default"/>
      </w:rPr>
    </w:lvl>
    <w:lvl w:ilvl="1" w:tplc="547CA428" w:tentative="1">
      <w:start w:val="1"/>
      <w:numFmt w:val="lowerLetter"/>
      <w:lvlText w:val="%2."/>
      <w:lvlJc w:val="left"/>
      <w:pPr>
        <w:ind w:left="1440" w:hanging="360"/>
      </w:pPr>
    </w:lvl>
    <w:lvl w:ilvl="2" w:tplc="23EC7B1A" w:tentative="1">
      <w:start w:val="1"/>
      <w:numFmt w:val="lowerRoman"/>
      <w:lvlText w:val="%3."/>
      <w:lvlJc w:val="right"/>
      <w:pPr>
        <w:ind w:left="2160" w:hanging="180"/>
      </w:pPr>
    </w:lvl>
    <w:lvl w:ilvl="3" w:tplc="18EEE73A" w:tentative="1">
      <w:start w:val="1"/>
      <w:numFmt w:val="decimal"/>
      <w:lvlText w:val="%4."/>
      <w:lvlJc w:val="left"/>
      <w:pPr>
        <w:ind w:left="2880" w:hanging="360"/>
      </w:pPr>
    </w:lvl>
    <w:lvl w:ilvl="4" w:tplc="400A5348" w:tentative="1">
      <w:start w:val="1"/>
      <w:numFmt w:val="lowerLetter"/>
      <w:lvlText w:val="%5."/>
      <w:lvlJc w:val="left"/>
      <w:pPr>
        <w:ind w:left="3600" w:hanging="360"/>
      </w:pPr>
    </w:lvl>
    <w:lvl w:ilvl="5" w:tplc="7A9C55B2" w:tentative="1">
      <w:start w:val="1"/>
      <w:numFmt w:val="lowerRoman"/>
      <w:lvlText w:val="%6."/>
      <w:lvlJc w:val="right"/>
      <w:pPr>
        <w:ind w:left="4320" w:hanging="180"/>
      </w:pPr>
    </w:lvl>
    <w:lvl w:ilvl="6" w:tplc="08505440" w:tentative="1">
      <w:start w:val="1"/>
      <w:numFmt w:val="decimal"/>
      <w:lvlText w:val="%7."/>
      <w:lvlJc w:val="left"/>
      <w:pPr>
        <w:ind w:left="5040" w:hanging="360"/>
      </w:pPr>
    </w:lvl>
    <w:lvl w:ilvl="7" w:tplc="7D22067C" w:tentative="1">
      <w:start w:val="1"/>
      <w:numFmt w:val="lowerLetter"/>
      <w:lvlText w:val="%8."/>
      <w:lvlJc w:val="left"/>
      <w:pPr>
        <w:ind w:left="5760" w:hanging="360"/>
      </w:pPr>
    </w:lvl>
    <w:lvl w:ilvl="8" w:tplc="0AF80586" w:tentative="1">
      <w:start w:val="1"/>
      <w:numFmt w:val="lowerRoman"/>
      <w:lvlText w:val="%9."/>
      <w:lvlJc w:val="right"/>
      <w:pPr>
        <w:ind w:left="6480" w:hanging="180"/>
      </w:pPr>
    </w:lvl>
  </w:abstractNum>
  <w:abstractNum w:abstractNumId="19" w15:restartNumberingAfterBreak="0">
    <w:nsid w:val="6A1C7708"/>
    <w:multiLevelType w:val="hybridMultilevel"/>
    <w:tmpl w:val="E3108128"/>
    <w:lvl w:ilvl="0" w:tplc="47DE8052">
      <w:start w:val="1"/>
      <w:numFmt w:val="upperLetter"/>
      <w:lvlText w:val="(%1)"/>
      <w:lvlJc w:val="left"/>
      <w:pPr>
        <w:ind w:left="1080" w:hanging="720"/>
      </w:pPr>
      <w:rPr>
        <w:rFonts w:hint="default"/>
      </w:rPr>
    </w:lvl>
    <w:lvl w:ilvl="1" w:tplc="4C98DA8E" w:tentative="1">
      <w:start w:val="1"/>
      <w:numFmt w:val="lowerLetter"/>
      <w:lvlText w:val="%2."/>
      <w:lvlJc w:val="left"/>
      <w:pPr>
        <w:ind w:left="1440" w:hanging="360"/>
      </w:pPr>
    </w:lvl>
    <w:lvl w:ilvl="2" w:tplc="31F88334" w:tentative="1">
      <w:start w:val="1"/>
      <w:numFmt w:val="lowerRoman"/>
      <w:lvlText w:val="%3."/>
      <w:lvlJc w:val="right"/>
      <w:pPr>
        <w:ind w:left="2160" w:hanging="180"/>
      </w:pPr>
    </w:lvl>
    <w:lvl w:ilvl="3" w:tplc="ECD07B6E" w:tentative="1">
      <w:start w:val="1"/>
      <w:numFmt w:val="decimal"/>
      <w:lvlText w:val="%4."/>
      <w:lvlJc w:val="left"/>
      <w:pPr>
        <w:ind w:left="2880" w:hanging="360"/>
      </w:pPr>
    </w:lvl>
    <w:lvl w:ilvl="4" w:tplc="AD924FBE" w:tentative="1">
      <w:start w:val="1"/>
      <w:numFmt w:val="lowerLetter"/>
      <w:lvlText w:val="%5."/>
      <w:lvlJc w:val="left"/>
      <w:pPr>
        <w:ind w:left="3600" w:hanging="360"/>
      </w:pPr>
    </w:lvl>
    <w:lvl w:ilvl="5" w:tplc="B1E8C8E8" w:tentative="1">
      <w:start w:val="1"/>
      <w:numFmt w:val="lowerRoman"/>
      <w:lvlText w:val="%6."/>
      <w:lvlJc w:val="right"/>
      <w:pPr>
        <w:ind w:left="4320" w:hanging="180"/>
      </w:pPr>
    </w:lvl>
    <w:lvl w:ilvl="6" w:tplc="E26E40B8" w:tentative="1">
      <w:start w:val="1"/>
      <w:numFmt w:val="decimal"/>
      <w:lvlText w:val="%7."/>
      <w:lvlJc w:val="left"/>
      <w:pPr>
        <w:ind w:left="5040" w:hanging="360"/>
      </w:pPr>
    </w:lvl>
    <w:lvl w:ilvl="7" w:tplc="57E2E110" w:tentative="1">
      <w:start w:val="1"/>
      <w:numFmt w:val="lowerLetter"/>
      <w:lvlText w:val="%8."/>
      <w:lvlJc w:val="left"/>
      <w:pPr>
        <w:ind w:left="5760" w:hanging="360"/>
      </w:pPr>
    </w:lvl>
    <w:lvl w:ilvl="8" w:tplc="CEA08F5E" w:tentative="1">
      <w:start w:val="1"/>
      <w:numFmt w:val="lowerRoman"/>
      <w:lvlText w:val="%9."/>
      <w:lvlJc w:val="right"/>
      <w:pPr>
        <w:ind w:left="6480" w:hanging="180"/>
      </w:pPr>
    </w:lvl>
  </w:abstractNum>
  <w:abstractNum w:abstractNumId="20" w15:restartNumberingAfterBreak="0">
    <w:nsid w:val="6F2C27CB"/>
    <w:multiLevelType w:val="hybridMultilevel"/>
    <w:tmpl w:val="20C0D184"/>
    <w:lvl w:ilvl="0" w:tplc="DEF4FA5E">
      <w:start w:val="1"/>
      <w:numFmt w:val="upperLetter"/>
      <w:lvlText w:val="(%1)"/>
      <w:lvlJc w:val="left"/>
      <w:pPr>
        <w:ind w:left="1080" w:hanging="720"/>
      </w:pPr>
      <w:rPr>
        <w:rFonts w:hint="default"/>
      </w:rPr>
    </w:lvl>
    <w:lvl w:ilvl="1" w:tplc="71984EFE" w:tentative="1">
      <w:start w:val="1"/>
      <w:numFmt w:val="lowerLetter"/>
      <w:lvlText w:val="%2."/>
      <w:lvlJc w:val="left"/>
      <w:pPr>
        <w:ind w:left="1440" w:hanging="360"/>
      </w:pPr>
    </w:lvl>
    <w:lvl w:ilvl="2" w:tplc="CE423C2A" w:tentative="1">
      <w:start w:val="1"/>
      <w:numFmt w:val="lowerRoman"/>
      <w:lvlText w:val="%3."/>
      <w:lvlJc w:val="right"/>
      <w:pPr>
        <w:ind w:left="2160" w:hanging="180"/>
      </w:pPr>
    </w:lvl>
    <w:lvl w:ilvl="3" w:tplc="9D9CF352" w:tentative="1">
      <w:start w:val="1"/>
      <w:numFmt w:val="decimal"/>
      <w:lvlText w:val="%4."/>
      <w:lvlJc w:val="left"/>
      <w:pPr>
        <w:ind w:left="2880" w:hanging="360"/>
      </w:pPr>
    </w:lvl>
    <w:lvl w:ilvl="4" w:tplc="481EFC98" w:tentative="1">
      <w:start w:val="1"/>
      <w:numFmt w:val="lowerLetter"/>
      <w:lvlText w:val="%5."/>
      <w:lvlJc w:val="left"/>
      <w:pPr>
        <w:ind w:left="3600" w:hanging="360"/>
      </w:pPr>
    </w:lvl>
    <w:lvl w:ilvl="5" w:tplc="F00C9C16" w:tentative="1">
      <w:start w:val="1"/>
      <w:numFmt w:val="lowerRoman"/>
      <w:lvlText w:val="%6."/>
      <w:lvlJc w:val="right"/>
      <w:pPr>
        <w:ind w:left="4320" w:hanging="180"/>
      </w:pPr>
    </w:lvl>
    <w:lvl w:ilvl="6" w:tplc="679EB704" w:tentative="1">
      <w:start w:val="1"/>
      <w:numFmt w:val="decimal"/>
      <w:lvlText w:val="%7."/>
      <w:lvlJc w:val="left"/>
      <w:pPr>
        <w:ind w:left="5040" w:hanging="360"/>
      </w:pPr>
    </w:lvl>
    <w:lvl w:ilvl="7" w:tplc="84B8E836" w:tentative="1">
      <w:start w:val="1"/>
      <w:numFmt w:val="lowerLetter"/>
      <w:lvlText w:val="%8."/>
      <w:lvlJc w:val="left"/>
      <w:pPr>
        <w:ind w:left="5760" w:hanging="360"/>
      </w:pPr>
    </w:lvl>
    <w:lvl w:ilvl="8" w:tplc="FD9E2002" w:tentative="1">
      <w:start w:val="1"/>
      <w:numFmt w:val="lowerRoman"/>
      <w:lvlText w:val="%9."/>
      <w:lvlJc w:val="right"/>
      <w:pPr>
        <w:ind w:left="6480" w:hanging="180"/>
      </w:pPr>
    </w:lvl>
  </w:abstractNum>
  <w:num w:numId="1" w16cid:durableId="356780971">
    <w:abstractNumId w:val="9"/>
  </w:num>
  <w:num w:numId="2" w16cid:durableId="1688360440">
    <w:abstractNumId w:val="7"/>
  </w:num>
  <w:num w:numId="3" w16cid:durableId="132988190">
    <w:abstractNumId w:val="6"/>
  </w:num>
  <w:num w:numId="4" w16cid:durableId="964234697">
    <w:abstractNumId w:val="5"/>
  </w:num>
  <w:num w:numId="5" w16cid:durableId="1931621394">
    <w:abstractNumId w:val="4"/>
  </w:num>
  <w:num w:numId="6" w16cid:durableId="1031414123">
    <w:abstractNumId w:val="8"/>
  </w:num>
  <w:num w:numId="7" w16cid:durableId="9181433">
    <w:abstractNumId w:val="3"/>
  </w:num>
  <w:num w:numId="8" w16cid:durableId="1803110826">
    <w:abstractNumId w:val="2"/>
  </w:num>
  <w:num w:numId="9" w16cid:durableId="171066015">
    <w:abstractNumId w:val="1"/>
  </w:num>
  <w:num w:numId="10" w16cid:durableId="1848977746">
    <w:abstractNumId w:val="0"/>
  </w:num>
  <w:num w:numId="11" w16cid:durableId="1225137612">
    <w:abstractNumId w:val="17"/>
  </w:num>
  <w:num w:numId="12" w16cid:durableId="611280057">
    <w:abstractNumId w:val="10"/>
  </w:num>
  <w:num w:numId="13" w16cid:durableId="1334920501">
    <w:abstractNumId w:val="11"/>
  </w:num>
  <w:num w:numId="14" w16cid:durableId="1823305900">
    <w:abstractNumId w:val="13"/>
  </w:num>
  <w:num w:numId="15" w16cid:durableId="403987373">
    <w:abstractNumId w:val="15"/>
  </w:num>
  <w:num w:numId="16" w16cid:durableId="1005283395">
    <w:abstractNumId w:val="12"/>
  </w:num>
  <w:num w:numId="17" w16cid:durableId="1874920449">
    <w:abstractNumId w:val="14"/>
  </w:num>
  <w:num w:numId="18" w16cid:durableId="1258560919">
    <w:abstractNumId w:val="20"/>
  </w:num>
  <w:num w:numId="19" w16cid:durableId="1177110869">
    <w:abstractNumId w:val="18"/>
  </w:num>
  <w:num w:numId="20" w16cid:durableId="801118644">
    <w:abstractNumId w:val="19"/>
  </w:num>
  <w:num w:numId="21" w16cid:durableId="122633415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GrammaticalError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D8A"/>
    <w:rsid w:val="00000F83"/>
    <w:rsid w:val="00004037"/>
    <w:rsid w:val="00010807"/>
    <w:rsid w:val="000207B2"/>
    <w:rsid w:val="00020D2A"/>
    <w:rsid w:val="00022586"/>
    <w:rsid w:val="00022645"/>
    <w:rsid w:val="00036CB9"/>
    <w:rsid w:val="00037436"/>
    <w:rsid w:val="00037F33"/>
    <w:rsid w:val="00042E61"/>
    <w:rsid w:val="00042E7F"/>
    <w:rsid w:val="00066BEC"/>
    <w:rsid w:val="00067E6E"/>
    <w:rsid w:val="000708E1"/>
    <w:rsid w:val="0009249B"/>
    <w:rsid w:val="000A2B51"/>
    <w:rsid w:val="000A3D2B"/>
    <w:rsid w:val="000A6F3A"/>
    <w:rsid w:val="000C756C"/>
    <w:rsid w:val="000D0C0C"/>
    <w:rsid w:val="000E1176"/>
    <w:rsid w:val="000E1347"/>
    <w:rsid w:val="000E1460"/>
    <w:rsid w:val="000F250C"/>
    <w:rsid w:val="000F48E6"/>
    <w:rsid w:val="00100AD5"/>
    <w:rsid w:val="00104254"/>
    <w:rsid w:val="00107947"/>
    <w:rsid w:val="00111BF7"/>
    <w:rsid w:val="00136DFA"/>
    <w:rsid w:val="00166351"/>
    <w:rsid w:val="00183F39"/>
    <w:rsid w:val="00185DA0"/>
    <w:rsid w:val="00187BF0"/>
    <w:rsid w:val="001930FE"/>
    <w:rsid w:val="00195501"/>
    <w:rsid w:val="001A39E4"/>
    <w:rsid w:val="001A6F59"/>
    <w:rsid w:val="001B3058"/>
    <w:rsid w:val="001D6D56"/>
    <w:rsid w:val="001E1FD2"/>
    <w:rsid w:val="001E6936"/>
    <w:rsid w:val="001F23D4"/>
    <w:rsid w:val="00200EA8"/>
    <w:rsid w:val="00203EA5"/>
    <w:rsid w:val="00205244"/>
    <w:rsid w:val="00220845"/>
    <w:rsid w:val="00221B59"/>
    <w:rsid w:val="00224D8A"/>
    <w:rsid w:val="0023408C"/>
    <w:rsid w:val="00247F68"/>
    <w:rsid w:val="00256086"/>
    <w:rsid w:val="00256369"/>
    <w:rsid w:val="00263892"/>
    <w:rsid w:val="0027725E"/>
    <w:rsid w:val="002917CF"/>
    <w:rsid w:val="00293F33"/>
    <w:rsid w:val="002A0BF7"/>
    <w:rsid w:val="002A3F27"/>
    <w:rsid w:val="002A60EB"/>
    <w:rsid w:val="002A7219"/>
    <w:rsid w:val="002B4F67"/>
    <w:rsid w:val="002C392D"/>
    <w:rsid w:val="002C4077"/>
    <w:rsid w:val="002C6FCF"/>
    <w:rsid w:val="002D01DA"/>
    <w:rsid w:val="002E26AF"/>
    <w:rsid w:val="00310F78"/>
    <w:rsid w:val="003275CB"/>
    <w:rsid w:val="00361833"/>
    <w:rsid w:val="00371C9C"/>
    <w:rsid w:val="00373043"/>
    <w:rsid w:val="00375CF9"/>
    <w:rsid w:val="003773DA"/>
    <w:rsid w:val="003853F8"/>
    <w:rsid w:val="0039039D"/>
    <w:rsid w:val="003A54A2"/>
    <w:rsid w:val="003A6E75"/>
    <w:rsid w:val="003A7AD3"/>
    <w:rsid w:val="003B13B7"/>
    <w:rsid w:val="003C0BAD"/>
    <w:rsid w:val="003C5B7D"/>
    <w:rsid w:val="003C7520"/>
    <w:rsid w:val="003D4C30"/>
    <w:rsid w:val="003E4FE0"/>
    <w:rsid w:val="003F04B6"/>
    <w:rsid w:val="003F4A30"/>
    <w:rsid w:val="00405EF2"/>
    <w:rsid w:val="00423EFB"/>
    <w:rsid w:val="00425B5F"/>
    <w:rsid w:val="00430DD9"/>
    <w:rsid w:val="00440843"/>
    <w:rsid w:val="00444EA3"/>
    <w:rsid w:val="00447B0C"/>
    <w:rsid w:val="00447B5B"/>
    <w:rsid w:val="004517E6"/>
    <w:rsid w:val="00452E6E"/>
    <w:rsid w:val="0045327A"/>
    <w:rsid w:val="0047706B"/>
    <w:rsid w:val="004A5AA2"/>
    <w:rsid w:val="004B6A5A"/>
    <w:rsid w:val="004C432D"/>
    <w:rsid w:val="004C5B93"/>
    <w:rsid w:val="004E3D91"/>
    <w:rsid w:val="004E503F"/>
    <w:rsid w:val="004F1D9A"/>
    <w:rsid w:val="004F1E91"/>
    <w:rsid w:val="005173E6"/>
    <w:rsid w:val="005377D6"/>
    <w:rsid w:val="00542292"/>
    <w:rsid w:val="0055281D"/>
    <w:rsid w:val="00552C4B"/>
    <w:rsid w:val="005573D4"/>
    <w:rsid w:val="0056356A"/>
    <w:rsid w:val="00574C5D"/>
    <w:rsid w:val="00584912"/>
    <w:rsid w:val="0058602C"/>
    <w:rsid w:val="0059150E"/>
    <w:rsid w:val="005B2401"/>
    <w:rsid w:val="005B3BFE"/>
    <w:rsid w:val="005C3DF1"/>
    <w:rsid w:val="005D516A"/>
    <w:rsid w:val="005D6336"/>
    <w:rsid w:val="005E0B25"/>
    <w:rsid w:val="005E3C15"/>
    <w:rsid w:val="005E3EAB"/>
    <w:rsid w:val="005F21BC"/>
    <w:rsid w:val="005F3430"/>
    <w:rsid w:val="00602C1D"/>
    <w:rsid w:val="00603982"/>
    <w:rsid w:val="00607875"/>
    <w:rsid w:val="00614504"/>
    <w:rsid w:val="00637D3C"/>
    <w:rsid w:val="00637DAB"/>
    <w:rsid w:val="00662318"/>
    <w:rsid w:val="006666ED"/>
    <w:rsid w:val="0067022D"/>
    <w:rsid w:val="006810B8"/>
    <w:rsid w:val="00685BD1"/>
    <w:rsid w:val="006873FC"/>
    <w:rsid w:val="00692743"/>
    <w:rsid w:val="0069465C"/>
    <w:rsid w:val="006A1ED5"/>
    <w:rsid w:val="006A4210"/>
    <w:rsid w:val="006C6C15"/>
    <w:rsid w:val="006D16A1"/>
    <w:rsid w:val="006E7B73"/>
    <w:rsid w:val="006F55EE"/>
    <w:rsid w:val="006F7A68"/>
    <w:rsid w:val="00710895"/>
    <w:rsid w:val="00711B31"/>
    <w:rsid w:val="0071311C"/>
    <w:rsid w:val="00720DB1"/>
    <w:rsid w:val="007278EC"/>
    <w:rsid w:val="007354B2"/>
    <w:rsid w:val="007431D7"/>
    <w:rsid w:val="007450E1"/>
    <w:rsid w:val="007564C7"/>
    <w:rsid w:val="00774DFC"/>
    <w:rsid w:val="00775B31"/>
    <w:rsid w:val="0078597A"/>
    <w:rsid w:val="00793519"/>
    <w:rsid w:val="007979B3"/>
    <w:rsid w:val="007B5AC2"/>
    <w:rsid w:val="007C1801"/>
    <w:rsid w:val="007C5411"/>
    <w:rsid w:val="007D712D"/>
    <w:rsid w:val="007F3F87"/>
    <w:rsid w:val="00820940"/>
    <w:rsid w:val="0082388A"/>
    <w:rsid w:val="008529B3"/>
    <w:rsid w:val="00857DB9"/>
    <w:rsid w:val="008844B0"/>
    <w:rsid w:val="008C46C5"/>
    <w:rsid w:val="008C74CB"/>
    <w:rsid w:val="008D3779"/>
    <w:rsid w:val="008D5099"/>
    <w:rsid w:val="008D738D"/>
    <w:rsid w:val="008E498D"/>
    <w:rsid w:val="008F78FB"/>
    <w:rsid w:val="009124AD"/>
    <w:rsid w:val="00920AFE"/>
    <w:rsid w:val="00924309"/>
    <w:rsid w:val="00926C7C"/>
    <w:rsid w:val="00942A81"/>
    <w:rsid w:val="0094446D"/>
    <w:rsid w:val="009529F2"/>
    <w:rsid w:val="00964C15"/>
    <w:rsid w:val="00971A38"/>
    <w:rsid w:val="00973AD2"/>
    <w:rsid w:val="00985879"/>
    <w:rsid w:val="009908EC"/>
    <w:rsid w:val="0099096A"/>
    <w:rsid w:val="00996AEF"/>
    <w:rsid w:val="009A7F5E"/>
    <w:rsid w:val="009C7316"/>
    <w:rsid w:val="009D03DC"/>
    <w:rsid w:val="009D712A"/>
    <w:rsid w:val="009D7D11"/>
    <w:rsid w:val="009F5A35"/>
    <w:rsid w:val="009F5F6A"/>
    <w:rsid w:val="00A00E09"/>
    <w:rsid w:val="00A14B27"/>
    <w:rsid w:val="00A15750"/>
    <w:rsid w:val="00A16F60"/>
    <w:rsid w:val="00A17074"/>
    <w:rsid w:val="00A3233F"/>
    <w:rsid w:val="00A329BB"/>
    <w:rsid w:val="00A43C84"/>
    <w:rsid w:val="00A44DB4"/>
    <w:rsid w:val="00A47CEE"/>
    <w:rsid w:val="00A603C9"/>
    <w:rsid w:val="00A651B5"/>
    <w:rsid w:val="00A72B09"/>
    <w:rsid w:val="00AA16C8"/>
    <w:rsid w:val="00AB02A4"/>
    <w:rsid w:val="00AB0CFF"/>
    <w:rsid w:val="00AB26E8"/>
    <w:rsid w:val="00AC0224"/>
    <w:rsid w:val="00AC4DC2"/>
    <w:rsid w:val="00AD509D"/>
    <w:rsid w:val="00AD7110"/>
    <w:rsid w:val="00AF1655"/>
    <w:rsid w:val="00AF428C"/>
    <w:rsid w:val="00AF5FF3"/>
    <w:rsid w:val="00AF79A1"/>
    <w:rsid w:val="00B10060"/>
    <w:rsid w:val="00B112FE"/>
    <w:rsid w:val="00B20123"/>
    <w:rsid w:val="00B21D39"/>
    <w:rsid w:val="00B23A2A"/>
    <w:rsid w:val="00B244AA"/>
    <w:rsid w:val="00B33A3C"/>
    <w:rsid w:val="00B401E5"/>
    <w:rsid w:val="00B41505"/>
    <w:rsid w:val="00B42B12"/>
    <w:rsid w:val="00B43AAB"/>
    <w:rsid w:val="00B46E9A"/>
    <w:rsid w:val="00B5704B"/>
    <w:rsid w:val="00B579F7"/>
    <w:rsid w:val="00B62068"/>
    <w:rsid w:val="00B8654D"/>
    <w:rsid w:val="00B92682"/>
    <w:rsid w:val="00B93375"/>
    <w:rsid w:val="00BA3F35"/>
    <w:rsid w:val="00BB0962"/>
    <w:rsid w:val="00BD2A6B"/>
    <w:rsid w:val="00BD67CD"/>
    <w:rsid w:val="00BE7432"/>
    <w:rsid w:val="00BF7F62"/>
    <w:rsid w:val="00C11E7A"/>
    <w:rsid w:val="00C201FD"/>
    <w:rsid w:val="00C24254"/>
    <w:rsid w:val="00C25F37"/>
    <w:rsid w:val="00C2609C"/>
    <w:rsid w:val="00C31B68"/>
    <w:rsid w:val="00C4506D"/>
    <w:rsid w:val="00C47A7F"/>
    <w:rsid w:val="00C64946"/>
    <w:rsid w:val="00C77DC8"/>
    <w:rsid w:val="00C861E9"/>
    <w:rsid w:val="00C925F3"/>
    <w:rsid w:val="00C96BDE"/>
    <w:rsid w:val="00CA4368"/>
    <w:rsid w:val="00CB4BB6"/>
    <w:rsid w:val="00CB6E44"/>
    <w:rsid w:val="00CC61FF"/>
    <w:rsid w:val="00CC6F41"/>
    <w:rsid w:val="00CF7351"/>
    <w:rsid w:val="00CF7402"/>
    <w:rsid w:val="00CF7697"/>
    <w:rsid w:val="00D0264C"/>
    <w:rsid w:val="00D10ED5"/>
    <w:rsid w:val="00D16A69"/>
    <w:rsid w:val="00D1744D"/>
    <w:rsid w:val="00D3153B"/>
    <w:rsid w:val="00D40EC1"/>
    <w:rsid w:val="00D43BD7"/>
    <w:rsid w:val="00D470F5"/>
    <w:rsid w:val="00D5168B"/>
    <w:rsid w:val="00D74185"/>
    <w:rsid w:val="00D77466"/>
    <w:rsid w:val="00D848FC"/>
    <w:rsid w:val="00D9695E"/>
    <w:rsid w:val="00DA2305"/>
    <w:rsid w:val="00DB4F9B"/>
    <w:rsid w:val="00DC0033"/>
    <w:rsid w:val="00DC42F6"/>
    <w:rsid w:val="00DD6ECD"/>
    <w:rsid w:val="00DE6D4B"/>
    <w:rsid w:val="00DF755B"/>
    <w:rsid w:val="00E06FC5"/>
    <w:rsid w:val="00E25C8A"/>
    <w:rsid w:val="00E338C4"/>
    <w:rsid w:val="00E37F2F"/>
    <w:rsid w:val="00E42762"/>
    <w:rsid w:val="00E46E97"/>
    <w:rsid w:val="00E50995"/>
    <w:rsid w:val="00E64632"/>
    <w:rsid w:val="00E82D24"/>
    <w:rsid w:val="00E84CA6"/>
    <w:rsid w:val="00EA5EF8"/>
    <w:rsid w:val="00EB3F17"/>
    <w:rsid w:val="00ED0F8F"/>
    <w:rsid w:val="00ED2E69"/>
    <w:rsid w:val="00EE19F4"/>
    <w:rsid w:val="00EE3602"/>
    <w:rsid w:val="00F11A99"/>
    <w:rsid w:val="00F20467"/>
    <w:rsid w:val="00F25F61"/>
    <w:rsid w:val="00F2621B"/>
    <w:rsid w:val="00F272B3"/>
    <w:rsid w:val="00F33216"/>
    <w:rsid w:val="00F368E0"/>
    <w:rsid w:val="00F42D85"/>
    <w:rsid w:val="00F44619"/>
    <w:rsid w:val="00F45C4E"/>
    <w:rsid w:val="00F46804"/>
    <w:rsid w:val="00F54DE6"/>
    <w:rsid w:val="00F76C1C"/>
    <w:rsid w:val="00FA02FD"/>
    <w:rsid w:val="00FA3622"/>
    <w:rsid w:val="00FB430A"/>
    <w:rsid w:val="00FC3F6B"/>
    <w:rsid w:val="00FD4181"/>
    <w:rsid w:val="00FD5AC2"/>
    <w:rsid w:val="00FF00B0"/>
    <w:rsid w:val="00FF179D"/>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DEBD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32D"/>
    <w:rPr>
      <w:noProof/>
      <w:sz w:val="24"/>
      <w:lang w:val="fr-CA" w:eastAsia="en-US"/>
    </w:rPr>
  </w:style>
  <w:style w:type="paragraph" w:styleId="Heading1">
    <w:name w:val="heading 1"/>
    <w:basedOn w:val="Normal"/>
    <w:next w:val="Normal"/>
    <w:semiHidden/>
    <w:qFormat/>
    <w:pPr>
      <w:keepNext/>
      <w:spacing w:before="240" w:after="60"/>
      <w:outlineLvl w:val="0"/>
    </w:pPr>
    <w:rPr>
      <w:rFonts w:ascii="Arial" w:hAnsi="Arial" w:cs="Arial"/>
      <w:b/>
      <w:bCs/>
      <w:kern w:val="32"/>
      <w:sz w:val="32"/>
      <w:szCs w:val="32"/>
    </w:rPr>
  </w:style>
  <w:style w:type="paragraph" w:styleId="Heading2">
    <w:name w:val="heading 2"/>
    <w:basedOn w:val="Normal"/>
    <w:next w:val="Normal"/>
    <w:semiHidden/>
    <w:qFormat/>
    <w:pPr>
      <w:keepNext/>
      <w:spacing w:before="240" w:after="60"/>
      <w:outlineLvl w:val="1"/>
    </w:pPr>
    <w:rPr>
      <w:rFonts w:ascii="Arial" w:hAnsi="Arial" w:cs="Arial"/>
      <w:b/>
      <w:bCs/>
      <w:i/>
      <w:iCs/>
      <w:sz w:val="28"/>
      <w:szCs w:val="28"/>
    </w:rPr>
  </w:style>
  <w:style w:type="paragraph" w:styleId="Heading3">
    <w:name w:val="heading 3"/>
    <w:basedOn w:val="Normal"/>
    <w:next w:val="Normal"/>
    <w:semiHidden/>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HHpara">
    <w:name w:val="OHHpara"/>
    <w:aliases w:val="P"/>
    <w:basedOn w:val="Normal"/>
    <w:pPr>
      <w:spacing w:after="240"/>
      <w:jc w:val="both"/>
    </w:pPr>
  </w:style>
  <w:style w:type="paragraph" w:styleId="Footer">
    <w:name w:val="footer"/>
    <w:basedOn w:val="Normal"/>
    <w:pPr>
      <w:tabs>
        <w:tab w:val="center" w:pos="4680"/>
        <w:tab w:val="right" w:pos="9360"/>
      </w:tabs>
    </w:pPr>
  </w:style>
  <w:style w:type="paragraph" w:styleId="FootnoteText">
    <w:name w:val="footnote text"/>
    <w:basedOn w:val="Normal"/>
    <w:link w:val="FootnoteTextChar"/>
    <w:semiHidden/>
    <w:pPr>
      <w:spacing w:after="200"/>
      <w:ind w:left="360" w:hanging="360"/>
      <w:jc w:val="both"/>
    </w:pPr>
    <w:rPr>
      <w:sz w:val="20"/>
    </w:rPr>
  </w:style>
  <w:style w:type="paragraph" w:styleId="Header">
    <w:name w:val="header"/>
    <w:basedOn w:val="Normal"/>
    <w:pPr>
      <w:tabs>
        <w:tab w:val="center" w:pos="4680"/>
        <w:tab w:val="right" w:pos="9360"/>
      </w:tabs>
    </w:pPr>
  </w:style>
  <w:style w:type="paragraph" w:customStyle="1" w:styleId="OHHHanging">
    <w:name w:val="OHHHanging"/>
    <w:aliases w:val="H"/>
    <w:basedOn w:val="OHHpara"/>
    <w:pPr>
      <w:ind w:left="720" w:hanging="720"/>
    </w:pPr>
  </w:style>
  <w:style w:type="paragraph" w:customStyle="1" w:styleId="OHHCentre">
    <w:name w:val="OHHCentre"/>
    <w:aliases w:val="C"/>
    <w:basedOn w:val="OHHpara"/>
    <w:pPr>
      <w:jc w:val="center"/>
    </w:pPr>
  </w:style>
  <w:style w:type="paragraph" w:customStyle="1" w:styleId="OHHLeft">
    <w:name w:val="OHHLeft"/>
    <w:aliases w:val="L"/>
    <w:basedOn w:val="OHHpara"/>
    <w:pPr>
      <w:jc w:val="left"/>
    </w:pPr>
  </w:style>
  <w:style w:type="paragraph" w:customStyle="1" w:styleId="OHHLR">
    <w:name w:val="OHHLR"/>
    <w:aliases w:val="LR"/>
    <w:basedOn w:val="OHHpara"/>
    <w:pPr>
      <w:ind w:left="720" w:right="720"/>
    </w:pPr>
  </w:style>
  <w:style w:type="paragraph" w:customStyle="1" w:styleId="OHHLR2">
    <w:name w:val="OHHLR2"/>
    <w:aliases w:val="LR2"/>
    <w:basedOn w:val="OHHpara"/>
    <w:pPr>
      <w:ind w:left="1440" w:right="1440"/>
    </w:pPr>
  </w:style>
  <w:style w:type="paragraph" w:customStyle="1" w:styleId="OHHMainHeading">
    <w:name w:val="OHHMainHeading"/>
    <w:aliases w:val="OMH"/>
    <w:basedOn w:val="OHHpara"/>
    <w:next w:val="OHHpara"/>
    <w:pPr>
      <w:keepNext/>
      <w:keepLines/>
      <w:spacing w:before="120"/>
      <w:jc w:val="center"/>
      <w:outlineLvl w:val="0"/>
    </w:pPr>
    <w:rPr>
      <w:b/>
      <w:caps/>
      <w:u w:val="single"/>
    </w:rPr>
  </w:style>
  <w:style w:type="paragraph" w:customStyle="1" w:styleId="OHHpara1">
    <w:name w:val="OHHpara1"/>
    <w:aliases w:val="1"/>
    <w:basedOn w:val="OHHpara"/>
    <w:pPr>
      <w:ind w:left="720"/>
    </w:pPr>
  </w:style>
  <w:style w:type="paragraph" w:customStyle="1" w:styleId="OHHpara2">
    <w:name w:val="OHHpara2"/>
    <w:aliases w:val="2"/>
    <w:basedOn w:val="OHHpara"/>
    <w:pPr>
      <w:ind w:left="1440"/>
    </w:pPr>
  </w:style>
  <w:style w:type="paragraph" w:customStyle="1" w:styleId="OHHpara3">
    <w:name w:val="OHHpara3"/>
    <w:aliases w:val="3"/>
    <w:basedOn w:val="OHHpara"/>
    <w:pPr>
      <w:ind w:left="2160"/>
    </w:pPr>
  </w:style>
  <w:style w:type="paragraph" w:customStyle="1" w:styleId="OHHpara4">
    <w:name w:val="OHHpara4"/>
    <w:aliases w:val="4"/>
    <w:basedOn w:val="OHHpara"/>
    <w:pPr>
      <w:ind w:left="2880"/>
    </w:pPr>
  </w:style>
  <w:style w:type="paragraph" w:customStyle="1" w:styleId="OHHpara5">
    <w:name w:val="OHHpara5"/>
    <w:aliases w:val="5"/>
    <w:basedOn w:val="OHHpara"/>
    <w:pPr>
      <w:ind w:left="3600"/>
    </w:pPr>
  </w:style>
  <w:style w:type="paragraph" w:customStyle="1" w:styleId="OHHPlain">
    <w:name w:val="OHHPlain"/>
    <w:basedOn w:val="Normal"/>
  </w:style>
  <w:style w:type="paragraph" w:customStyle="1" w:styleId="OHHQuote">
    <w:name w:val="OHHQuote"/>
    <w:aliases w:val="Q"/>
    <w:basedOn w:val="Normal"/>
    <w:pPr>
      <w:spacing w:after="240"/>
      <w:ind w:left="1440" w:right="1440"/>
      <w:jc w:val="both"/>
    </w:pPr>
    <w:rPr>
      <w:sz w:val="20"/>
    </w:rPr>
  </w:style>
  <w:style w:type="paragraph" w:customStyle="1" w:styleId="OHHReference">
    <w:name w:val="OHHReference"/>
    <w:aliases w:val="Ref"/>
    <w:basedOn w:val="OHHQuote"/>
    <w:rPr>
      <w:b/>
    </w:rPr>
  </w:style>
  <w:style w:type="paragraph" w:customStyle="1" w:styleId="OHHRight">
    <w:name w:val="OHHRight"/>
    <w:aliases w:val="R"/>
    <w:basedOn w:val="OHHpara"/>
    <w:pPr>
      <w:jc w:val="right"/>
    </w:pPr>
  </w:style>
  <w:style w:type="paragraph" w:customStyle="1" w:styleId="OHHSubHeading">
    <w:name w:val="OHHSubHeading"/>
    <w:aliases w:val="OSH"/>
    <w:basedOn w:val="OHHpara"/>
    <w:next w:val="OHHpara"/>
    <w:pPr>
      <w:keepNext/>
      <w:keepLines/>
      <w:spacing w:before="120"/>
      <w:jc w:val="left"/>
      <w:outlineLvl w:val="1"/>
    </w:pPr>
    <w:rPr>
      <w:b/>
      <w:u w:val="single"/>
    </w:rPr>
  </w:style>
  <w:style w:type="paragraph" w:customStyle="1" w:styleId="OHHTab">
    <w:name w:val="OHHTab"/>
    <w:aliases w:val="T"/>
    <w:basedOn w:val="OHHpara"/>
    <w:pPr>
      <w:ind w:firstLine="720"/>
    </w:pPr>
  </w:style>
  <w:style w:type="paragraph" w:customStyle="1" w:styleId="OHHTab2">
    <w:name w:val="OHHTab2"/>
    <w:aliases w:val="T2"/>
    <w:basedOn w:val="OHHpara"/>
    <w:pPr>
      <w:ind w:firstLine="1440"/>
    </w:pPr>
  </w:style>
  <w:style w:type="character" w:styleId="PageNumber">
    <w:name w:val="page number"/>
    <w:rsid w:val="00100AD5"/>
  </w:style>
  <w:style w:type="character" w:customStyle="1" w:styleId="Prompt">
    <w:name w:val="Prompt"/>
    <w:aliases w:val="PR"/>
    <w:basedOn w:val="DefaultParagraphFont"/>
    <w:rPr>
      <w:color w:val="auto"/>
    </w:rPr>
  </w:style>
  <w:style w:type="paragraph" w:customStyle="1" w:styleId="Schedule">
    <w:name w:val="Schedule"/>
    <w:aliases w:val="Sch"/>
    <w:basedOn w:val="OHHpara"/>
    <w:next w:val="OHHpara"/>
    <w:pPr>
      <w:keepNext/>
      <w:jc w:val="center"/>
    </w:pPr>
    <w:rPr>
      <w:b/>
      <w:caps/>
    </w:rPr>
  </w:style>
  <w:style w:type="paragraph" w:customStyle="1" w:styleId="OHHTableHead">
    <w:name w:val="OHHTableHead"/>
    <w:aliases w:val="TH"/>
    <w:basedOn w:val="OHHpara"/>
    <w:pPr>
      <w:keepNext/>
      <w:keepLines/>
      <w:spacing w:before="60" w:after="60"/>
      <w:jc w:val="center"/>
    </w:pPr>
    <w:rPr>
      <w:b/>
    </w:rPr>
  </w:style>
  <w:style w:type="paragraph" w:customStyle="1" w:styleId="OHHTableText">
    <w:name w:val="OHHTableText"/>
    <w:aliases w:val="TT"/>
    <w:basedOn w:val="OHHpara"/>
    <w:pPr>
      <w:spacing w:before="60" w:after="60"/>
      <w:jc w:val="left"/>
    </w:pPr>
    <w:rPr>
      <w:szCs w:val="24"/>
    </w:rPr>
  </w:style>
  <w:style w:type="paragraph" w:styleId="Date">
    <w:name w:val="Date"/>
    <w:basedOn w:val="Normal"/>
    <w:next w:val="Normal"/>
    <w:link w:val="DateChar"/>
    <w:rsid w:val="00F44619"/>
    <w:pPr>
      <w:spacing w:after="240"/>
    </w:pPr>
  </w:style>
  <w:style w:type="character" w:customStyle="1" w:styleId="DateChar">
    <w:name w:val="Date Char"/>
    <w:basedOn w:val="DefaultParagraphFont"/>
    <w:link w:val="Date"/>
    <w:rsid w:val="00F44619"/>
    <w:rPr>
      <w:sz w:val="24"/>
      <w:lang w:val="en-CA" w:eastAsia="en-US"/>
    </w:rPr>
  </w:style>
  <w:style w:type="paragraph" w:styleId="BodyText">
    <w:name w:val="Body Text"/>
    <w:link w:val="BodyTextChar"/>
    <w:uiPriority w:val="99"/>
    <w:semiHidden/>
    <w:unhideWhenUsed/>
    <w:rsid w:val="00100AD5"/>
    <w:pPr>
      <w:spacing w:after="120"/>
    </w:pPr>
    <w:rPr>
      <w:noProof/>
      <w:sz w:val="24"/>
      <w:lang w:val="en-CA" w:eastAsia="en-US"/>
    </w:rPr>
  </w:style>
  <w:style w:type="character" w:customStyle="1" w:styleId="BodyTextChar">
    <w:name w:val="Body Text Char"/>
    <w:basedOn w:val="DefaultParagraphFont"/>
    <w:link w:val="BodyText"/>
    <w:uiPriority w:val="99"/>
    <w:semiHidden/>
    <w:rsid w:val="00100AD5"/>
    <w:rPr>
      <w:noProof/>
      <w:sz w:val="24"/>
      <w:lang w:val="en-CA" w:eastAsia="en-US"/>
    </w:rPr>
  </w:style>
  <w:style w:type="paragraph" w:customStyle="1" w:styleId="OHHQuote2">
    <w:name w:val="OHHQuote2"/>
    <w:basedOn w:val="OHHQuote"/>
    <w:autoRedefine/>
    <w:rsid w:val="00C4506D"/>
    <w:pPr>
      <w:ind w:right="720"/>
    </w:pPr>
    <w:rPr>
      <w:sz w:val="24"/>
      <w:lang w:eastAsia="en-CA"/>
    </w:rPr>
  </w:style>
  <w:style w:type="paragraph" w:customStyle="1" w:styleId="OHHReference2">
    <w:name w:val="OHHReference2"/>
    <w:basedOn w:val="OHHReference"/>
    <w:qFormat/>
    <w:rsid w:val="00C4506D"/>
    <w:pPr>
      <w:ind w:left="3600" w:right="0" w:hanging="720"/>
      <w:jc w:val="left"/>
    </w:pPr>
    <w:rPr>
      <w:b w:val="0"/>
      <w:sz w:val="24"/>
      <w:lang w:eastAsia="en-CA"/>
    </w:rPr>
  </w:style>
  <w:style w:type="table" w:styleId="TableGrid">
    <w:name w:val="Table Grid"/>
    <w:basedOn w:val="TableNormal"/>
    <w:uiPriority w:val="59"/>
    <w:rsid w:val="00224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D40EC1"/>
    <w:rPr>
      <w:vertAlign w:val="superscript"/>
    </w:rPr>
  </w:style>
  <w:style w:type="paragraph" w:customStyle="1" w:styleId="DocsID">
    <w:name w:val="DocsID"/>
    <w:basedOn w:val="Normal"/>
    <w:rsid w:val="00136DFA"/>
    <w:pPr>
      <w:spacing w:before="20"/>
    </w:pPr>
    <w:rPr>
      <w:color w:val="000000"/>
      <w:sz w:val="12"/>
      <w:szCs w:val="12"/>
    </w:rPr>
  </w:style>
  <w:style w:type="character" w:customStyle="1" w:styleId="FootnoteTextChar">
    <w:name w:val="Footnote Text Char"/>
    <w:basedOn w:val="DefaultParagraphFont"/>
    <w:link w:val="FootnoteText"/>
    <w:semiHidden/>
    <w:rsid w:val="00AF5FF3"/>
    <w:rPr>
      <w:lang w:val="en-CA" w:eastAsia="en-US"/>
    </w:rPr>
  </w:style>
  <w:style w:type="paragraph" w:styleId="Revision">
    <w:name w:val="Revision"/>
    <w:hidden/>
    <w:uiPriority w:val="99"/>
    <w:semiHidden/>
    <w:rsid w:val="00F272B3"/>
    <w:rPr>
      <w:sz w:val="24"/>
      <w:lang w:val="en-CA" w:eastAsia="en-US"/>
    </w:rPr>
  </w:style>
  <w:style w:type="character" w:styleId="CommentReference">
    <w:name w:val="annotation reference"/>
    <w:basedOn w:val="DefaultParagraphFont"/>
    <w:uiPriority w:val="99"/>
    <w:semiHidden/>
    <w:unhideWhenUsed/>
    <w:rsid w:val="00037436"/>
    <w:rPr>
      <w:sz w:val="16"/>
      <w:szCs w:val="16"/>
    </w:rPr>
  </w:style>
  <w:style w:type="paragraph" w:styleId="CommentText">
    <w:name w:val="annotation text"/>
    <w:basedOn w:val="Normal"/>
    <w:link w:val="CommentTextChar"/>
    <w:uiPriority w:val="99"/>
    <w:unhideWhenUsed/>
    <w:rsid w:val="00037436"/>
    <w:rPr>
      <w:sz w:val="20"/>
    </w:rPr>
  </w:style>
  <w:style w:type="character" w:customStyle="1" w:styleId="CommentTextChar">
    <w:name w:val="Comment Text Char"/>
    <w:basedOn w:val="DefaultParagraphFont"/>
    <w:link w:val="CommentText"/>
    <w:uiPriority w:val="99"/>
    <w:rsid w:val="00037436"/>
    <w:rPr>
      <w:lang w:val="en-CA" w:eastAsia="en-US"/>
    </w:rPr>
  </w:style>
  <w:style w:type="paragraph" w:styleId="CommentSubject">
    <w:name w:val="annotation subject"/>
    <w:basedOn w:val="CommentText"/>
    <w:next w:val="CommentText"/>
    <w:link w:val="CommentSubjectChar"/>
    <w:uiPriority w:val="99"/>
    <w:semiHidden/>
    <w:unhideWhenUsed/>
    <w:rsid w:val="00037436"/>
    <w:rPr>
      <w:b/>
      <w:bCs/>
    </w:rPr>
  </w:style>
  <w:style w:type="character" w:customStyle="1" w:styleId="CommentSubjectChar">
    <w:name w:val="Comment Subject Char"/>
    <w:basedOn w:val="CommentTextChar"/>
    <w:link w:val="CommentSubject"/>
    <w:uiPriority w:val="99"/>
    <w:semiHidden/>
    <w:rsid w:val="00037436"/>
    <w:rPr>
      <w:b/>
      <w:bCs/>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5DD83-5008-4D65-81EE-C77CCD0CE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2730</Words>
  <Characters>15565</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CORRA FRN Term Sheet FR</dc:title>
  <dc:creator/>
  <cp:lastModifiedBy/>
  <cp:revision>1</cp:revision>
  <cp:lastPrinted>1900-01-01T05:00:00Z</cp:lastPrinted>
  <dcterms:created xsi:type="dcterms:W3CDTF">2023-06-28T19:04:00Z</dcterms:created>
  <dcterms:modified xsi:type="dcterms:W3CDTF">2023-06-28T19:04:00Z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AutoUpdate">
    <vt:lpwstr>ALL</vt:lpwstr>
  </property>
  <property fmtid="{D5CDD505-2E9C-101B-9397-08002B2CF9AE}" pid="3" name="DocsID">
    <vt:lpwstr>LEGAL_1:77523826.2</vt:lpwstr>
  </property>
</Properties>
</file>